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B6222" w14:textId="77777777" w:rsidR="00093373" w:rsidRDefault="00093373">
      <w:pPr>
        <w:spacing w:before="0" w:after="200" w:line="276" w:lineRule="auto"/>
        <w:rPr>
          <w:noProof/>
          <w:lang w:val="en-US"/>
        </w:rPr>
      </w:pPr>
      <w:r>
        <w:rPr>
          <w:noProof/>
        </w:rPr>
        <w:drawing>
          <wp:inline distT="0" distB="0" distL="0" distR="0" wp14:anchorId="0EB139F1" wp14:editId="6E3B9A23">
            <wp:extent cx="1080000" cy="1080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Pr>
          <w:noProof/>
          <w:lang w:val="en-US"/>
        </w:rPr>
        <w:t xml:space="preserve"> </w:t>
      </w:r>
    </w:p>
    <w:p w14:paraId="1734AFC6" w14:textId="77777777" w:rsidR="00A24DE0" w:rsidRDefault="00A24DE0">
      <w:pPr>
        <w:spacing w:before="0" w:after="200" w:line="276" w:lineRule="auto"/>
        <w:rPr>
          <w:noProof/>
          <w:lang w:val="en-US"/>
        </w:rPr>
      </w:pPr>
    </w:p>
    <w:p w14:paraId="7527EF0D" w14:textId="28C2D686" w:rsidR="00A24DE0" w:rsidRPr="00A24DE0" w:rsidRDefault="00A24DE0" w:rsidP="00A24DE0">
      <w:pPr>
        <w:spacing w:before="0" w:after="200" w:line="276" w:lineRule="auto"/>
        <w:jc w:val="center"/>
        <w:rPr>
          <w:b/>
          <w:bCs/>
          <w:noProof/>
          <w:sz w:val="36"/>
          <w:szCs w:val="36"/>
          <w:u w:val="single"/>
          <w:lang w:val="en-US"/>
        </w:rPr>
      </w:pPr>
      <w:r w:rsidRPr="00A24DE0">
        <w:rPr>
          <w:b/>
          <w:bCs/>
          <w:noProof/>
          <w:sz w:val="36"/>
          <w:szCs w:val="36"/>
          <w:u w:val="single"/>
          <w:lang w:val="en-US"/>
        </w:rPr>
        <w:t>Proofreader application: Test copy</w:t>
      </w:r>
    </w:p>
    <w:p w14:paraId="2171D919" w14:textId="77777777" w:rsidR="00B32F05" w:rsidRDefault="00A24DE0">
      <w:pPr>
        <w:spacing w:before="0" w:after="200" w:line="276" w:lineRule="auto"/>
        <w:rPr>
          <w:noProof/>
          <w:sz w:val="24"/>
          <w:szCs w:val="24"/>
          <w:lang w:val="en-US"/>
        </w:rPr>
      </w:pPr>
      <w:r w:rsidRPr="00A24DE0">
        <w:rPr>
          <w:noProof/>
          <w:sz w:val="24"/>
          <w:szCs w:val="24"/>
          <w:lang w:val="en-US"/>
        </w:rPr>
        <w:t>If you would like to be considered to join our team as a proofreader, please complete this test piece of proofreading.</w:t>
      </w:r>
    </w:p>
    <w:p w14:paraId="76FD7FEF" w14:textId="15B63759" w:rsidR="00A24DE0" w:rsidRDefault="00A24DE0">
      <w:pPr>
        <w:spacing w:before="0" w:after="200" w:line="276" w:lineRule="auto"/>
        <w:rPr>
          <w:noProof/>
          <w:sz w:val="24"/>
          <w:szCs w:val="24"/>
          <w:lang w:val="en-US"/>
        </w:rPr>
      </w:pPr>
      <w:r w:rsidRPr="00A24DE0">
        <w:rPr>
          <w:noProof/>
          <w:sz w:val="24"/>
          <w:szCs w:val="24"/>
          <w:lang w:val="en-US"/>
        </w:rPr>
        <w:t>In the document that follows, please proofread everything and tidy up the formatting as needed, including addressing the points in comments. Please turn on tracking</w:t>
      </w:r>
      <w:r w:rsidR="00B32F05">
        <w:rPr>
          <w:noProof/>
          <w:sz w:val="24"/>
          <w:szCs w:val="24"/>
          <w:lang w:val="en-US"/>
        </w:rPr>
        <w:t>,</w:t>
      </w:r>
      <w:r w:rsidRPr="00A24DE0">
        <w:rPr>
          <w:noProof/>
          <w:sz w:val="24"/>
          <w:szCs w:val="24"/>
          <w:lang w:val="en-US"/>
        </w:rPr>
        <w:t xml:space="preserve"> add any comments as you see fit</w:t>
      </w:r>
      <w:r w:rsidR="00B32F05">
        <w:rPr>
          <w:noProof/>
          <w:sz w:val="24"/>
          <w:szCs w:val="24"/>
          <w:lang w:val="en-US"/>
        </w:rPr>
        <w:t xml:space="preserve"> and use the ‘styles’ function where appropriate</w:t>
      </w:r>
      <w:r w:rsidRPr="00A24DE0">
        <w:rPr>
          <w:noProof/>
          <w:sz w:val="24"/>
          <w:szCs w:val="24"/>
          <w:lang w:val="en-US"/>
        </w:rPr>
        <w:t>.</w:t>
      </w:r>
    </w:p>
    <w:p w14:paraId="0B967098" w14:textId="5FBA7526" w:rsidR="00A24DE0" w:rsidRDefault="00C6166B">
      <w:pPr>
        <w:spacing w:before="0" w:after="200" w:line="276" w:lineRule="auto"/>
        <w:rPr>
          <w:noProof/>
          <w:sz w:val="24"/>
          <w:szCs w:val="24"/>
          <w:lang w:val="en-US"/>
        </w:rPr>
      </w:pPr>
      <w:r>
        <w:rPr>
          <w:noProof/>
          <w:sz w:val="24"/>
          <w:szCs w:val="24"/>
          <w:lang w:val="en-US"/>
        </w:rPr>
        <w:t>S</w:t>
      </w:r>
      <w:r w:rsidR="00A24DE0">
        <w:rPr>
          <w:noProof/>
          <w:sz w:val="24"/>
          <w:szCs w:val="24"/>
          <w:lang w:val="en-US"/>
        </w:rPr>
        <w:t xml:space="preserve">ave the completed test with your name in the filename and upload it where indicated on the application form (links to the application form are at </w:t>
      </w:r>
      <w:hyperlink r:id="rId9" w:history="1">
        <w:r w:rsidR="00A24DE0" w:rsidRPr="00892D75">
          <w:rPr>
            <w:rStyle w:val="Hyperlink"/>
            <w:noProof/>
            <w:sz w:val="24"/>
            <w:szCs w:val="24"/>
            <w:lang w:val="en-US"/>
          </w:rPr>
          <w:t>https://sortedcomms.co.uk/careers/</w:t>
        </w:r>
      </w:hyperlink>
      <w:r w:rsidR="00A24DE0">
        <w:rPr>
          <w:noProof/>
          <w:sz w:val="24"/>
          <w:szCs w:val="24"/>
          <w:lang w:val="en-US"/>
        </w:rPr>
        <w:t>)</w:t>
      </w:r>
    </w:p>
    <w:p w14:paraId="7AB4AA41" w14:textId="2202F158" w:rsidR="00093373" w:rsidRDefault="00A24DE0">
      <w:pPr>
        <w:spacing w:before="0" w:after="200" w:line="276" w:lineRule="auto"/>
        <w:rPr>
          <w:noProof/>
          <w:sz w:val="24"/>
          <w:szCs w:val="24"/>
          <w:lang w:val="en-US"/>
        </w:rPr>
      </w:pPr>
      <w:r w:rsidRPr="00A24DE0">
        <w:rPr>
          <w:noProof/>
          <w:sz w:val="24"/>
          <w:szCs w:val="24"/>
          <w:lang w:val="en-US"/>
        </w:rPr>
        <w:t>For your reference, if this was a real piece of work for a client, I would expect it to take about half an hour.</w:t>
      </w:r>
    </w:p>
    <w:p w14:paraId="65F17371" w14:textId="2EE60B29" w:rsidR="00AF008A" w:rsidRDefault="00AF008A">
      <w:pPr>
        <w:spacing w:before="0" w:after="200" w:line="276" w:lineRule="auto"/>
        <w:rPr>
          <w:noProof/>
          <w:sz w:val="24"/>
          <w:szCs w:val="24"/>
          <w:lang w:val="en-US"/>
        </w:rPr>
      </w:pPr>
    </w:p>
    <w:p w14:paraId="4A47030E" w14:textId="214CFDCA" w:rsidR="00AF008A" w:rsidRDefault="00AF008A">
      <w:pPr>
        <w:spacing w:before="0" w:after="200" w:line="276" w:lineRule="auto"/>
        <w:rPr>
          <w:noProof/>
          <w:sz w:val="24"/>
          <w:szCs w:val="24"/>
          <w:lang w:val="en-US"/>
        </w:rPr>
      </w:pPr>
    </w:p>
    <w:p w14:paraId="21B0EFB9" w14:textId="1BE94EAC" w:rsidR="00AF008A" w:rsidRDefault="00AF008A">
      <w:pPr>
        <w:spacing w:before="0" w:after="200" w:line="276" w:lineRule="auto"/>
        <w:rPr>
          <w:noProof/>
          <w:sz w:val="24"/>
          <w:szCs w:val="24"/>
          <w:lang w:val="en-US"/>
        </w:rPr>
      </w:pPr>
    </w:p>
    <w:p w14:paraId="607BD461" w14:textId="098F7A6A" w:rsidR="00AF008A" w:rsidRDefault="00AF008A">
      <w:pPr>
        <w:spacing w:before="0" w:after="200" w:line="276" w:lineRule="auto"/>
        <w:rPr>
          <w:noProof/>
          <w:sz w:val="24"/>
          <w:szCs w:val="24"/>
          <w:lang w:val="en-US"/>
        </w:rPr>
      </w:pPr>
    </w:p>
    <w:p w14:paraId="21788062" w14:textId="26E2010D" w:rsidR="00AF008A" w:rsidRDefault="00AF008A">
      <w:pPr>
        <w:spacing w:before="0" w:after="200" w:line="276" w:lineRule="auto"/>
        <w:rPr>
          <w:noProof/>
          <w:sz w:val="24"/>
          <w:szCs w:val="24"/>
          <w:lang w:val="en-US"/>
        </w:rPr>
      </w:pPr>
    </w:p>
    <w:p w14:paraId="474F1435" w14:textId="3FC70FD8" w:rsidR="00AF008A" w:rsidRDefault="00AF008A">
      <w:pPr>
        <w:spacing w:before="0" w:after="200" w:line="276" w:lineRule="auto"/>
        <w:rPr>
          <w:noProof/>
          <w:sz w:val="24"/>
          <w:szCs w:val="24"/>
          <w:lang w:val="en-US"/>
        </w:rPr>
      </w:pPr>
    </w:p>
    <w:p w14:paraId="7A788C01" w14:textId="7DA00602" w:rsidR="00AF008A" w:rsidRDefault="00AF008A">
      <w:pPr>
        <w:spacing w:before="0" w:after="200" w:line="276" w:lineRule="auto"/>
        <w:rPr>
          <w:noProof/>
          <w:sz w:val="24"/>
          <w:szCs w:val="24"/>
          <w:lang w:val="en-US"/>
        </w:rPr>
      </w:pPr>
    </w:p>
    <w:tbl>
      <w:tblPr>
        <w:tblStyle w:val="TableGrid"/>
        <w:tblW w:w="0" w:type="auto"/>
        <w:tblLook w:val="04A0" w:firstRow="1" w:lastRow="0" w:firstColumn="1" w:lastColumn="0" w:noHBand="0" w:noVBand="1"/>
      </w:tblPr>
      <w:tblGrid>
        <w:gridCol w:w="9628"/>
      </w:tblGrid>
      <w:tr w:rsidR="00AF008A" w14:paraId="28C0BE39" w14:textId="77777777" w:rsidTr="00AF008A">
        <w:tc>
          <w:tcPr>
            <w:tcW w:w="9628" w:type="dxa"/>
            <w:shd w:val="clear" w:color="auto" w:fill="BFBFBF" w:themeFill="background1" w:themeFillShade="BF"/>
          </w:tcPr>
          <w:p w14:paraId="547BB44D" w14:textId="69B83726" w:rsidR="00AF008A" w:rsidRPr="00AF008A" w:rsidRDefault="00AF008A" w:rsidP="00AF008A">
            <w:pPr>
              <w:rPr>
                <w:noProof/>
                <w:lang w:val="en-US"/>
              </w:rPr>
            </w:pPr>
            <w:r w:rsidRPr="00AF008A">
              <w:rPr>
                <w:noProof/>
                <w:lang w:val="en-US"/>
              </w:rPr>
              <w:t>For office use</w:t>
            </w:r>
          </w:p>
        </w:tc>
      </w:tr>
      <w:tr w:rsidR="00AF008A" w14:paraId="661B0B03" w14:textId="77777777" w:rsidTr="00AF008A">
        <w:tc>
          <w:tcPr>
            <w:tcW w:w="9628" w:type="dxa"/>
          </w:tcPr>
          <w:p w14:paraId="3BD14399" w14:textId="6F40203F" w:rsidR="00AF008A" w:rsidRDefault="00AF008A" w:rsidP="00AF008A">
            <w:pPr>
              <w:rPr>
                <w:noProof/>
                <w:lang w:val="en-US"/>
              </w:rPr>
            </w:pPr>
            <w:r>
              <w:rPr>
                <w:noProof/>
                <w:lang w:val="en-US"/>
              </w:rPr>
              <w:t>Score:</w:t>
            </w:r>
          </w:p>
        </w:tc>
      </w:tr>
      <w:tr w:rsidR="00AF008A" w14:paraId="43EC09FD" w14:textId="77777777" w:rsidTr="00AF008A">
        <w:tc>
          <w:tcPr>
            <w:tcW w:w="9628" w:type="dxa"/>
          </w:tcPr>
          <w:p w14:paraId="4A9E6919" w14:textId="77777777" w:rsidR="00AF008A" w:rsidRDefault="00AF008A" w:rsidP="00AF008A">
            <w:pPr>
              <w:rPr>
                <w:noProof/>
                <w:lang w:val="en-US"/>
              </w:rPr>
            </w:pPr>
            <w:r>
              <w:rPr>
                <w:noProof/>
                <w:lang w:val="en-US"/>
              </w:rPr>
              <w:t>Comments:</w:t>
            </w:r>
          </w:p>
          <w:p w14:paraId="46092B4A" w14:textId="5615EA08" w:rsidR="00AF008A" w:rsidRDefault="00AF008A" w:rsidP="00AF008A">
            <w:pPr>
              <w:rPr>
                <w:noProof/>
                <w:lang w:val="en-US"/>
              </w:rPr>
            </w:pPr>
          </w:p>
          <w:p w14:paraId="21C01D5C" w14:textId="77777777" w:rsidR="00AF008A" w:rsidRDefault="00AF008A" w:rsidP="00AF008A">
            <w:pPr>
              <w:rPr>
                <w:noProof/>
                <w:lang w:val="en-US"/>
              </w:rPr>
            </w:pPr>
          </w:p>
          <w:p w14:paraId="5589939B" w14:textId="77777777" w:rsidR="00AF008A" w:rsidRDefault="00AF008A" w:rsidP="00AF008A">
            <w:pPr>
              <w:rPr>
                <w:noProof/>
                <w:lang w:val="en-US"/>
              </w:rPr>
            </w:pPr>
          </w:p>
          <w:p w14:paraId="36826867" w14:textId="68CE8322" w:rsidR="00AF008A" w:rsidRDefault="00AF008A" w:rsidP="00AF008A">
            <w:pPr>
              <w:rPr>
                <w:noProof/>
                <w:lang w:val="en-US"/>
              </w:rPr>
            </w:pPr>
          </w:p>
        </w:tc>
      </w:tr>
    </w:tbl>
    <w:p w14:paraId="1671D9DD" w14:textId="2650896C" w:rsidR="00093373" w:rsidRDefault="00093373">
      <w:pPr>
        <w:spacing w:before="0" w:after="200" w:line="276" w:lineRule="auto"/>
        <w:rPr>
          <w:rFonts w:eastAsiaTheme="majorEastAsia" w:cstheme="majorBidi"/>
          <w:noProof/>
          <w:spacing w:val="-10"/>
          <w:kern w:val="28"/>
          <w:sz w:val="56"/>
          <w:szCs w:val="56"/>
          <w:lang w:val="en-US"/>
        </w:rPr>
      </w:pPr>
      <w:r>
        <w:rPr>
          <w:noProof/>
          <w:lang w:val="en-US"/>
        </w:rPr>
        <w:br w:type="page"/>
      </w:r>
    </w:p>
    <w:p w14:paraId="10408FF9" w14:textId="4479F9D3" w:rsidR="00580B0D" w:rsidRPr="00F539AE" w:rsidRDefault="00AE5554" w:rsidP="00F65001">
      <w:pPr>
        <w:pStyle w:val="Title"/>
        <w:rPr>
          <w:noProof/>
          <w:lang w:val="en-US"/>
        </w:rPr>
      </w:pPr>
      <w:commentRangeStart w:id="0"/>
      <w:r w:rsidRPr="00F539AE">
        <w:rPr>
          <w:noProof/>
          <w:lang w:val="en-US"/>
        </w:rPr>
        <w:lastRenderedPageBreak/>
        <w:t>Understanding p</w:t>
      </w:r>
      <w:r w:rsidR="00674627" w:rsidRPr="00F539AE">
        <w:rPr>
          <w:noProof/>
          <w:lang w:val="en-US"/>
        </w:rPr>
        <w:t>opulation health</w:t>
      </w:r>
      <w:commentRangeEnd w:id="0"/>
      <w:r w:rsidR="00F65001" w:rsidRPr="00F539AE">
        <w:rPr>
          <w:rStyle w:val="CommentReference"/>
          <w:rFonts w:asciiTheme="minorHAnsi" w:eastAsiaTheme="minorHAnsi" w:hAnsiTheme="minorHAnsi" w:cstheme="minorBidi"/>
          <w:noProof/>
          <w:spacing w:val="0"/>
          <w:kern w:val="0"/>
          <w:lang w:val="en-US"/>
        </w:rPr>
        <w:commentReference w:id="0"/>
      </w:r>
    </w:p>
    <w:p w14:paraId="2B5B3566" w14:textId="67893F17" w:rsidR="000B16E0" w:rsidRPr="00F539AE" w:rsidRDefault="004543E0" w:rsidP="00F65001">
      <w:pPr>
        <w:rPr>
          <w:noProof/>
          <w:lang w:val="en-US"/>
        </w:rPr>
      </w:pPr>
      <w:commentRangeStart w:id="1"/>
      <w:r w:rsidRPr="00F539AE">
        <w:rPr>
          <w:noProof/>
          <w:lang w:val="en-US"/>
        </w:rPr>
        <w:t xml:space="preserve">Population heath analysis is an essential tool </w:t>
      </w:r>
      <w:r w:rsidR="000B16E0" w:rsidRPr="00F539AE">
        <w:rPr>
          <w:noProof/>
          <w:lang w:val="en-US"/>
        </w:rPr>
        <w:t xml:space="preserve">for anyone working in an </w:t>
      </w:r>
      <w:r w:rsidR="00C67203" w:rsidRPr="00F539AE">
        <w:rPr>
          <w:noProof/>
          <w:lang w:val="en-US"/>
        </w:rPr>
        <w:t>ICS</w:t>
      </w:r>
      <w:r w:rsidR="000B16E0" w:rsidRPr="00F539AE">
        <w:rPr>
          <w:noProof/>
          <w:lang w:val="en-US"/>
        </w:rPr>
        <w:t>, planning new interventions or new care models, or looking for the best ways to close the gap on health inequalities.</w:t>
      </w:r>
      <w:commentRangeEnd w:id="1"/>
      <w:r w:rsidR="00274E72" w:rsidRPr="00F539AE">
        <w:rPr>
          <w:rStyle w:val="CommentReference"/>
          <w:noProof/>
          <w:lang w:val="en-US"/>
        </w:rPr>
        <w:commentReference w:id="1"/>
      </w:r>
    </w:p>
    <w:p w14:paraId="68E41024" w14:textId="50F7C25F" w:rsidR="000B16E0" w:rsidRPr="00F539AE" w:rsidRDefault="004543E0" w:rsidP="00F65001">
      <w:pPr>
        <w:rPr>
          <w:noProof/>
          <w:lang w:val="en-US"/>
        </w:rPr>
      </w:pPr>
      <w:r w:rsidRPr="00F539AE">
        <w:rPr>
          <w:noProof/>
          <w:lang w:val="en-US"/>
        </w:rPr>
        <w:t xml:space="preserve">It delivers a real understanding of a population’s health and </w:t>
      </w:r>
      <w:r w:rsidR="000B16E0" w:rsidRPr="00F539AE">
        <w:rPr>
          <w:noProof/>
          <w:lang w:val="en-US"/>
        </w:rPr>
        <w:t xml:space="preserve">can be to facilitate decision-making, </w:t>
      </w:r>
      <w:r w:rsidR="008D6B30" w:rsidRPr="00F539AE">
        <w:rPr>
          <w:noProof/>
          <w:lang w:val="en-US"/>
        </w:rPr>
        <w:t xml:space="preserve">and to help </w:t>
      </w:r>
      <w:r w:rsidR="000B16E0" w:rsidRPr="00F539AE">
        <w:rPr>
          <w:noProof/>
          <w:lang w:val="en-US"/>
        </w:rPr>
        <w:t xml:space="preserve">ensure that funding is targeted towards those areas where there is the biggest opportunity to make the maximum impact </w:t>
      </w:r>
      <w:r w:rsidR="00EB68A8" w:rsidRPr="00F539AE">
        <w:rPr>
          <w:noProof/>
          <w:lang w:val="en-US"/>
        </w:rPr>
        <w:t>i</w:t>
      </w:r>
      <w:r w:rsidR="000B16E0" w:rsidRPr="00F539AE">
        <w:rPr>
          <w:noProof/>
          <w:lang w:val="en-US"/>
        </w:rPr>
        <w:t xml:space="preserve">n health and wellbeing. </w:t>
      </w:r>
    </w:p>
    <w:p w14:paraId="073BF30D" w14:textId="4BE897FE" w:rsidR="00677E87" w:rsidRPr="00F539AE" w:rsidRDefault="0049743A" w:rsidP="00F65001">
      <w:pPr>
        <w:rPr>
          <w:noProof/>
          <w:lang w:val="en-US"/>
        </w:rPr>
      </w:pPr>
      <w:r w:rsidRPr="00F539AE">
        <w:rPr>
          <w:noProof/>
          <w:lang w:val="en-US"/>
        </w:rPr>
        <w:t>Our comprehensive population health analyses give</w:t>
      </w:r>
      <w:r w:rsidR="00FC0C7C" w:rsidRPr="00F539AE">
        <w:rPr>
          <w:noProof/>
          <w:lang w:val="en-US"/>
        </w:rPr>
        <w:t>s</w:t>
      </w:r>
      <w:r w:rsidRPr="00F539AE">
        <w:rPr>
          <w:noProof/>
          <w:lang w:val="en-US"/>
        </w:rPr>
        <w:t xml:space="preserve"> a detailed picture of the health of communities</w:t>
      </w:r>
      <w:r w:rsidR="00794752" w:rsidRPr="00F539AE">
        <w:rPr>
          <w:noProof/>
          <w:lang w:val="en-US"/>
        </w:rPr>
        <w:t>,</w:t>
      </w:r>
      <w:r w:rsidRPr="00F539AE">
        <w:rPr>
          <w:noProof/>
          <w:lang w:val="en-US"/>
        </w:rPr>
        <w:t xml:space="preserve"> the challenges or risks faced by different groups, </w:t>
      </w:r>
      <w:r w:rsidR="00794752" w:rsidRPr="00F539AE">
        <w:rPr>
          <w:noProof/>
          <w:lang w:val="en-US"/>
        </w:rPr>
        <w:t>the ways in which</w:t>
      </w:r>
      <w:r w:rsidRPr="00F539AE">
        <w:rPr>
          <w:noProof/>
          <w:lang w:val="en-US"/>
        </w:rPr>
        <w:t xml:space="preserve"> they engage with health and other public services, and the ways </w:t>
      </w:r>
      <w:r w:rsidR="00794752" w:rsidRPr="00F539AE">
        <w:rPr>
          <w:noProof/>
          <w:lang w:val="en-US"/>
        </w:rPr>
        <w:t xml:space="preserve">in which </w:t>
      </w:r>
      <w:r w:rsidRPr="00F539AE">
        <w:rPr>
          <w:noProof/>
          <w:lang w:val="en-US"/>
        </w:rPr>
        <w:t>services can be changed to benefit their wellbeing.</w:t>
      </w:r>
    </w:p>
    <w:p w14:paraId="75F834DE" w14:textId="18782956" w:rsidR="005769F8" w:rsidRPr="00F539AE" w:rsidRDefault="00AE5554" w:rsidP="00F65001">
      <w:pPr>
        <w:pStyle w:val="Heading1"/>
        <w:rPr>
          <w:noProof/>
          <w:lang w:val="en-US"/>
        </w:rPr>
      </w:pPr>
      <w:commentRangeStart w:id="2"/>
      <w:r w:rsidRPr="00F539AE">
        <w:rPr>
          <w:noProof/>
          <w:lang w:val="en-US"/>
        </w:rPr>
        <w:t>What we offer</w:t>
      </w:r>
      <w:r w:rsidR="0097083F" w:rsidRPr="00F539AE">
        <w:rPr>
          <w:noProof/>
          <w:lang w:val="en-US"/>
        </w:rPr>
        <w:t xml:space="preserve"> </w:t>
      </w:r>
      <w:commentRangeEnd w:id="2"/>
      <w:r w:rsidR="00F65001" w:rsidRPr="00F539AE">
        <w:rPr>
          <w:rStyle w:val="CommentReference"/>
          <w:rFonts w:ascii="Arial" w:eastAsiaTheme="minorHAnsi" w:hAnsi="Arial" w:cstheme="minorBidi"/>
          <w:b w:val="0"/>
          <w:noProof/>
          <w:color w:val="auto"/>
          <w:lang w:val="en-US"/>
        </w:rPr>
        <w:commentReference w:id="2"/>
      </w:r>
    </w:p>
    <w:p w14:paraId="23BCED47" w14:textId="5BACD453" w:rsidR="009E7945" w:rsidRPr="00F539AE" w:rsidRDefault="0049743A" w:rsidP="00274E72">
      <w:pPr>
        <w:rPr>
          <w:noProof/>
          <w:lang w:val="en-US"/>
        </w:rPr>
      </w:pPr>
      <w:r w:rsidRPr="00F539AE">
        <w:rPr>
          <w:noProof/>
          <w:lang w:val="en-US"/>
        </w:rPr>
        <w:t>Our popula</w:t>
      </w:r>
      <w:r w:rsidR="00317383" w:rsidRPr="00F539AE">
        <w:rPr>
          <w:noProof/>
          <w:lang w:val="en-US"/>
        </w:rPr>
        <w:t xml:space="preserve">tion health analyses don’t </w:t>
      </w:r>
      <w:r w:rsidR="008D6B30" w:rsidRPr="00F539AE">
        <w:rPr>
          <w:noProof/>
          <w:lang w:val="en-US"/>
        </w:rPr>
        <w:t xml:space="preserve">only </w:t>
      </w:r>
      <w:r w:rsidR="00317383" w:rsidRPr="00F539AE">
        <w:rPr>
          <w:noProof/>
          <w:lang w:val="en-US"/>
        </w:rPr>
        <w:t>look at the wellbeing of a population</w:t>
      </w:r>
      <w:r w:rsidR="008D6B30" w:rsidRPr="00F539AE">
        <w:rPr>
          <w:noProof/>
          <w:lang w:val="en-US"/>
        </w:rPr>
        <w:t>,</w:t>
      </w:r>
      <w:r w:rsidR="00794752" w:rsidRPr="00F539AE">
        <w:rPr>
          <w:noProof/>
          <w:lang w:val="en-US"/>
        </w:rPr>
        <w:t xml:space="preserve"> they</w:t>
      </w:r>
      <w:r w:rsidR="000B16E0" w:rsidRPr="00F539AE">
        <w:rPr>
          <w:noProof/>
          <w:lang w:val="en-US"/>
        </w:rPr>
        <w:t xml:space="preserve"> </w:t>
      </w:r>
      <w:r w:rsidR="00317383" w:rsidRPr="00F539AE">
        <w:rPr>
          <w:noProof/>
          <w:lang w:val="en-US"/>
        </w:rPr>
        <w:t xml:space="preserve">also look in detail at how </w:t>
      </w:r>
      <w:r w:rsidR="007A2800" w:rsidRPr="00F539AE">
        <w:rPr>
          <w:noProof/>
          <w:lang w:val="en-US"/>
        </w:rPr>
        <w:t xml:space="preserve">the implementation of </w:t>
      </w:r>
      <w:r w:rsidR="00317383" w:rsidRPr="00F539AE">
        <w:rPr>
          <w:noProof/>
          <w:lang w:val="en-US"/>
        </w:rPr>
        <w:t>a proposed new initiative is likely to play out within the targeted sections of that population. We start with</w:t>
      </w:r>
      <w:r w:rsidR="000B16E0" w:rsidRPr="00F539AE">
        <w:rPr>
          <w:noProof/>
          <w:lang w:val="en-US"/>
        </w:rPr>
        <w:t xml:space="preserve"> </w:t>
      </w:r>
      <w:r w:rsidR="009E7945" w:rsidRPr="00F539AE">
        <w:rPr>
          <w:noProof/>
          <w:lang w:val="en-US"/>
        </w:rPr>
        <w:t>risk stratification and segmentation</w:t>
      </w:r>
      <w:r w:rsidR="00317383" w:rsidRPr="00F539AE">
        <w:rPr>
          <w:noProof/>
          <w:lang w:val="en-US"/>
        </w:rPr>
        <w:t xml:space="preserve">, </w:t>
      </w:r>
      <w:r w:rsidR="000B16E0" w:rsidRPr="00F539AE">
        <w:rPr>
          <w:noProof/>
          <w:lang w:val="en-US"/>
        </w:rPr>
        <w:t xml:space="preserve">and </w:t>
      </w:r>
      <w:r w:rsidR="00317383" w:rsidRPr="00F539AE">
        <w:rPr>
          <w:noProof/>
          <w:lang w:val="en-US"/>
        </w:rPr>
        <w:t xml:space="preserve">then </w:t>
      </w:r>
      <w:r w:rsidR="00794752" w:rsidRPr="00F539AE">
        <w:rPr>
          <w:noProof/>
          <w:lang w:val="en-US"/>
        </w:rPr>
        <w:t xml:space="preserve">build on the analysis with a number of </w:t>
      </w:r>
      <w:r w:rsidR="00317383" w:rsidRPr="00F539AE">
        <w:rPr>
          <w:noProof/>
          <w:lang w:val="en-US"/>
        </w:rPr>
        <w:t>ground</w:t>
      </w:r>
      <w:r w:rsidR="00E748BD" w:rsidRPr="00F539AE">
        <w:rPr>
          <w:noProof/>
          <w:lang w:val="en-US"/>
        </w:rPr>
        <w:t xml:space="preserve">-breaking </w:t>
      </w:r>
      <w:r w:rsidR="009E7945" w:rsidRPr="00F539AE">
        <w:rPr>
          <w:noProof/>
          <w:lang w:val="en-US"/>
        </w:rPr>
        <w:t>‘extras’</w:t>
      </w:r>
      <w:r w:rsidR="00317383" w:rsidRPr="00F539AE">
        <w:rPr>
          <w:noProof/>
          <w:lang w:val="en-US"/>
        </w:rPr>
        <w:t>:</w:t>
      </w:r>
    </w:p>
    <w:p w14:paraId="7A95F702" w14:textId="105A4C32" w:rsidR="009E7945" w:rsidRPr="00F539AE" w:rsidRDefault="009E7945" w:rsidP="00AE5554">
      <w:pPr>
        <w:pStyle w:val="ListParagraph"/>
        <w:numPr>
          <w:ilvl w:val="0"/>
          <w:numId w:val="4"/>
        </w:numPr>
        <w:rPr>
          <w:rFonts w:cs="Arial"/>
          <w:noProof/>
          <w:lang w:val="en-US"/>
        </w:rPr>
      </w:pPr>
      <w:r w:rsidRPr="00F539AE">
        <w:rPr>
          <w:rFonts w:cs="Arial"/>
          <w:b/>
          <w:noProof/>
          <w:lang w:val="en-US"/>
        </w:rPr>
        <w:t>Risk segmentation:</w:t>
      </w:r>
      <w:r w:rsidRPr="00F539AE">
        <w:rPr>
          <w:rFonts w:cs="Arial"/>
          <w:noProof/>
          <w:lang w:val="en-US"/>
        </w:rPr>
        <w:t xml:space="preserve"> </w:t>
      </w:r>
      <w:r w:rsidR="000B16E0" w:rsidRPr="00F539AE">
        <w:rPr>
          <w:rFonts w:cs="Arial"/>
          <w:noProof/>
          <w:lang w:val="en-US"/>
        </w:rPr>
        <w:t>Giving</w:t>
      </w:r>
      <w:r w:rsidR="00AE5554" w:rsidRPr="00F539AE">
        <w:rPr>
          <w:rFonts w:cs="Arial"/>
          <w:noProof/>
          <w:lang w:val="en-US"/>
        </w:rPr>
        <w:t xml:space="preserve"> a</w:t>
      </w:r>
      <w:r w:rsidRPr="00F539AE">
        <w:rPr>
          <w:rFonts w:cs="Arial"/>
          <w:noProof/>
          <w:lang w:val="en-US"/>
        </w:rPr>
        <w:t xml:space="preserve"> detailed picture of </w:t>
      </w:r>
      <w:r w:rsidR="008D6B30" w:rsidRPr="00F539AE">
        <w:rPr>
          <w:rFonts w:cs="Arial"/>
          <w:noProof/>
          <w:lang w:val="en-US"/>
        </w:rPr>
        <w:t>the</w:t>
      </w:r>
      <w:r w:rsidR="00094092" w:rsidRPr="00F539AE">
        <w:rPr>
          <w:rFonts w:cs="Arial"/>
          <w:noProof/>
          <w:lang w:val="en-US"/>
        </w:rPr>
        <w:t xml:space="preserve"> communit</w:t>
      </w:r>
      <w:r w:rsidR="008D6B30" w:rsidRPr="00F539AE">
        <w:rPr>
          <w:rFonts w:cs="Arial"/>
          <w:noProof/>
          <w:lang w:val="en-US"/>
        </w:rPr>
        <w:t>ies</w:t>
      </w:r>
      <w:r w:rsidR="00EB68A8" w:rsidRPr="00F539AE">
        <w:rPr>
          <w:rFonts w:cs="Arial"/>
          <w:noProof/>
          <w:lang w:val="en-US"/>
        </w:rPr>
        <w:t xml:space="preserve"> </w:t>
      </w:r>
      <w:r w:rsidRPr="00F539AE">
        <w:rPr>
          <w:rFonts w:cs="Arial"/>
          <w:noProof/>
          <w:lang w:val="en-US"/>
        </w:rPr>
        <w:t xml:space="preserve">health and wellbeing and the challenges </w:t>
      </w:r>
      <w:r w:rsidR="009C23FC" w:rsidRPr="00F539AE">
        <w:rPr>
          <w:rFonts w:cs="Arial"/>
          <w:noProof/>
          <w:lang w:val="en-US"/>
        </w:rPr>
        <w:t xml:space="preserve">or risks </w:t>
      </w:r>
      <w:r w:rsidR="00E748BD" w:rsidRPr="00F539AE">
        <w:rPr>
          <w:rFonts w:cs="Arial"/>
          <w:noProof/>
          <w:lang w:val="en-US"/>
        </w:rPr>
        <w:t xml:space="preserve">faced by </w:t>
      </w:r>
      <w:r w:rsidRPr="00F539AE">
        <w:rPr>
          <w:rFonts w:cs="Arial"/>
          <w:noProof/>
          <w:lang w:val="en-US"/>
        </w:rPr>
        <w:t xml:space="preserve">different groups </w:t>
      </w:r>
      <w:r w:rsidR="00E748BD" w:rsidRPr="00F539AE">
        <w:rPr>
          <w:rFonts w:cs="Arial"/>
          <w:noProof/>
          <w:lang w:val="en-US"/>
        </w:rPr>
        <w:t>within the population</w:t>
      </w:r>
      <w:r w:rsidR="00F31BCC" w:rsidRPr="00F539AE">
        <w:rPr>
          <w:rFonts w:cs="Arial"/>
          <w:noProof/>
          <w:lang w:val="en-US"/>
        </w:rPr>
        <w:t>.</w:t>
      </w:r>
    </w:p>
    <w:p w14:paraId="1FE0127D" w14:textId="00900B74" w:rsidR="009E7945" w:rsidRPr="00F539AE" w:rsidRDefault="009E7945" w:rsidP="00AE5554">
      <w:pPr>
        <w:pStyle w:val="ListParagraph"/>
        <w:numPr>
          <w:ilvl w:val="0"/>
          <w:numId w:val="4"/>
        </w:numPr>
        <w:rPr>
          <w:rFonts w:cs="Arial"/>
          <w:noProof/>
          <w:lang w:val="en-US"/>
        </w:rPr>
      </w:pPr>
      <w:r w:rsidRPr="00F539AE">
        <w:rPr>
          <w:rFonts w:cs="Arial"/>
          <w:b/>
          <w:noProof/>
          <w:lang w:val="en-US"/>
        </w:rPr>
        <w:t>Gap and opportunity analysis</w:t>
      </w:r>
      <w:r w:rsidRPr="00F539AE">
        <w:rPr>
          <w:rFonts w:cs="Arial"/>
          <w:noProof/>
          <w:lang w:val="en-US"/>
        </w:rPr>
        <w:t xml:space="preserve"> </w:t>
      </w:r>
      <w:r w:rsidR="000B16E0" w:rsidRPr="00F539AE">
        <w:rPr>
          <w:rFonts w:cs="Arial"/>
          <w:noProof/>
          <w:lang w:val="en-US"/>
        </w:rPr>
        <w:t>I</w:t>
      </w:r>
      <w:r w:rsidRPr="00F539AE">
        <w:rPr>
          <w:rFonts w:cs="Arial"/>
          <w:noProof/>
          <w:lang w:val="en-US"/>
        </w:rPr>
        <w:t>dentify</w:t>
      </w:r>
      <w:r w:rsidR="000B16E0" w:rsidRPr="00F539AE">
        <w:rPr>
          <w:rFonts w:cs="Arial"/>
          <w:noProof/>
          <w:lang w:val="en-US"/>
        </w:rPr>
        <w:t>ing</w:t>
      </w:r>
      <w:r w:rsidRPr="00F539AE">
        <w:rPr>
          <w:rFonts w:cs="Arial"/>
          <w:noProof/>
          <w:lang w:val="en-US"/>
        </w:rPr>
        <w:t xml:space="preserve"> and focus</w:t>
      </w:r>
      <w:r w:rsidR="000B16E0" w:rsidRPr="00F539AE">
        <w:rPr>
          <w:rFonts w:cs="Arial"/>
          <w:noProof/>
          <w:lang w:val="en-US"/>
        </w:rPr>
        <w:t>ing</w:t>
      </w:r>
      <w:r w:rsidRPr="00F539AE">
        <w:rPr>
          <w:rFonts w:cs="Arial"/>
          <w:noProof/>
          <w:lang w:val="en-US"/>
        </w:rPr>
        <w:t xml:space="preserve"> on patient care that may have missing ele</w:t>
      </w:r>
      <w:r w:rsidR="00AE5554" w:rsidRPr="00F539AE">
        <w:rPr>
          <w:rFonts w:cs="Arial"/>
          <w:noProof/>
          <w:lang w:val="en-US"/>
        </w:rPr>
        <w:t xml:space="preserve">ments or ‘gaps in </w:t>
      </w:r>
      <w:r w:rsidRPr="00F539AE">
        <w:rPr>
          <w:rFonts w:cs="Arial"/>
          <w:noProof/>
          <w:lang w:val="en-US"/>
        </w:rPr>
        <w:t>delivery, and identifying potential areas for improvement</w:t>
      </w:r>
      <w:r w:rsidR="00F31BCC" w:rsidRPr="00F539AE">
        <w:rPr>
          <w:rFonts w:cs="Arial"/>
          <w:noProof/>
          <w:lang w:val="en-US"/>
        </w:rPr>
        <w:t>.</w:t>
      </w:r>
    </w:p>
    <w:p w14:paraId="7609C1C6" w14:textId="2C303514" w:rsidR="002A723B" w:rsidRPr="00F539AE" w:rsidRDefault="009E7945" w:rsidP="00AE5554">
      <w:pPr>
        <w:pStyle w:val="ListParagraph"/>
        <w:numPr>
          <w:ilvl w:val="0"/>
          <w:numId w:val="4"/>
        </w:numPr>
        <w:spacing w:after="0"/>
        <w:rPr>
          <w:rFonts w:cs="Arial"/>
          <w:noProof/>
          <w:lang w:val="en-US"/>
        </w:rPr>
      </w:pPr>
      <w:r w:rsidRPr="00F539AE">
        <w:rPr>
          <w:rFonts w:cs="Arial"/>
          <w:b/>
          <w:noProof/>
          <w:lang w:val="en-US"/>
        </w:rPr>
        <w:t xml:space="preserve">Impactibility </w:t>
      </w:r>
      <w:r w:rsidR="00AE5554" w:rsidRPr="00F539AE">
        <w:rPr>
          <w:rFonts w:cs="Arial"/>
          <w:b/>
          <w:noProof/>
          <w:lang w:val="en-US"/>
        </w:rPr>
        <w:t>assessments</w:t>
      </w:r>
      <w:r w:rsidRPr="00F539AE">
        <w:rPr>
          <w:rFonts w:cs="Arial"/>
          <w:b/>
          <w:noProof/>
          <w:lang w:val="en-US"/>
        </w:rPr>
        <w:t>:</w:t>
      </w:r>
      <w:r w:rsidRPr="00F539AE">
        <w:rPr>
          <w:rFonts w:cs="Arial"/>
          <w:noProof/>
          <w:lang w:val="en-US"/>
        </w:rPr>
        <w:t xml:space="preserve"> </w:t>
      </w:r>
      <w:r w:rsidR="00775B1E" w:rsidRPr="00F539AE">
        <w:rPr>
          <w:rFonts w:cs="Arial"/>
          <w:noProof/>
          <w:lang w:val="en-US"/>
        </w:rPr>
        <w:t>I</w:t>
      </w:r>
      <w:r w:rsidRPr="00F539AE">
        <w:rPr>
          <w:rFonts w:cs="Arial"/>
          <w:noProof/>
          <w:lang w:val="en-US"/>
        </w:rPr>
        <w:t>dentify</w:t>
      </w:r>
      <w:r w:rsidR="00E748BD" w:rsidRPr="00F539AE">
        <w:rPr>
          <w:rFonts w:cs="Arial"/>
          <w:noProof/>
          <w:lang w:val="en-US"/>
        </w:rPr>
        <w:t>ing</w:t>
      </w:r>
      <w:r w:rsidRPr="00F539AE">
        <w:rPr>
          <w:rFonts w:cs="Arial"/>
          <w:noProof/>
          <w:lang w:val="en-US"/>
        </w:rPr>
        <w:t xml:space="preserve"> which patients are most likely to be amenable to</w:t>
      </w:r>
      <w:r w:rsidR="00775B1E" w:rsidRPr="00F539AE">
        <w:rPr>
          <w:rFonts w:cs="Arial"/>
          <w:noProof/>
          <w:lang w:val="en-US"/>
        </w:rPr>
        <w:t xml:space="preserve"> a new </w:t>
      </w:r>
      <w:r w:rsidRPr="00F539AE">
        <w:rPr>
          <w:rFonts w:cs="Arial"/>
          <w:noProof/>
          <w:lang w:val="en-US"/>
        </w:rPr>
        <w:t xml:space="preserve">intervention </w:t>
      </w:r>
      <w:r w:rsidR="009C23FC" w:rsidRPr="00F539AE">
        <w:rPr>
          <w:rFonts w:cs="Arial"/>
          <w:noProof/>
          <w:lang w:val="en-US"/>
        </w:rPr>
        <w:t>and</w:t>
      </w:r>
      <w:r w:rsidRPr="00F539AE">
        <w:rPr>
          <w:rFonts w:cs="Arial"/>
          <w:noProof/>
          <w:lang w:val="en-US"/>
        </w:rPr>
        <w:t xml:space="preserve"> which interventions would be most effective</w:t>
      </w:r>
      <w:r w:rsidR="00E748BD" w:rsidRPr="00F539AE">
        <w:rPr>
          <w:rFonts w:cs="Arial"/>
          <w:noProof/>
          <w:lang w:val="en-US"/>
        </w:rPr>
        <w:t>.</w:t>
      </w:r>
    </w:p>
    <w:p w14:paraId="4813F9EE" w14:textId="7851A96A" w:rsidR="009E7945" w:rsidRPr="00F539AE" w:rsidRDefault="009E7945" w:rsidP="002A723B">
      <w:pPr>
        <w:pStyle w:val="ListParagraph"/>
        <w:spacing w:after="0"/>
        <w:rPr>
          <w:rFonts w:cs="Arial"/>
          <w:noProof/>
          <w:lang w:val="en-US"/>
        </w:rPr>
      </w:pPr>
    </w:p>
    <w:p w14:paraId="11E8B9BC" w14:textId="6FED177A" w:rsidR="00AE5554" w:rsidRPr="00F539AE" w:rsidRDefault="00EB68A8" w:rsidP="00F65001">
      <w:pPr>
        <w:rPr>
          <w:rFonts w:cs="Arial"/>
          <w:noProof/>
          <w:sz w:val="24"/>
          <w:szCs w:val="24"/>
          <w:lang w:val="en-US"/>
        </w:rPr>
      </w:pPr>
      <w:r w:rsidRPr="00F539AE">
        <w:rPr>
          <w:rFonts w:cs="Arial"/>
          <w:noProof/>
          <w:sz w:val="24"/>
          <w:szCs w:val="24"/>
          <w:lang w:val="en-US"/>
        </w:rPr>
        <w:t>O</w:t>
      </w:r>
      <w:r w:rsidR="007A2800" w:rsidRPr="00F539AE">
        <w:rPr>
          <w:rFonts w:cs="Arial"/>
          <w:noProof/>
          <w:sz w:val="24"/>
          <w:szCs w:val="24"/>
          <w:lang w:val="en-US"/>
        </w:rPr>
        <w:t xml:space="preserve">ur </w:t>
      </w:r>
      <w:r w:rsidR="00652AFD" w:rsidRPr="00F539AE">
        <w:rPr>
          <w:rFonts w:cs="Arial"/>
          <w:noProof/>
          <w:sz w:val="24"/>
          <w:szCs w:val="24"/>
          <w:lang w:val="en-US"/>
        </w:rPr>
        <w:t xml:space="preserve">initial assessments </w:t>
      </w:r>
      <w:r w:rsidRPr="00F539AE">
        <w:rPr>
          <w:rFonts w:cs="Arial"/>
          <w:noProof/>
          <w:sz w:val="24"/>
          <w:szCs w:val="24"/>
          <w:lang w:val="en-US"/>
        </w:rPr>
        <w:t>first</w:t>
      </w:r>
      <w:r w:rsidR="00FC0C7C" w:rsidRPr="00F539AE">
        <w:rPr>
          <w:rFonts w:cs="Arial"/>
          <w:noProof/>
          <w:sz w:val="24"/>
          <w:szCs w:val="24"/>
          <w:lang w:val="en-US"/>
        </w:rPr>
        <w:t xml:space="preserve"> of</w:t>
      </w:r>
      <w:r w:rsidR="00652AFD" w:rsidRPr="00F539AE">
        <w:rPr>
          <w:rFonts w:cs="Arial"/>
          <w:noProof/>
          <w:sz w:val="24"/>
          <w:szCs w:val="24"/>
          <w:lang w:val="en-US"/>
        </w:rPr>
        <w:t xml:space="preserve"> </w:t>
      </w:r>
      <w:r w:rsidR="007A2800" w:rsidRPr="00F539AE">
        <w:rPr>
          <w:rFonts w:cs="Arial"/>
          <w:noProof/>
          <w:sz w:val="24"/>
          <w:szCs w:val="24"/>
          <w:lang w:val="en-US"/>
        </w:rPr>
        <w:t xml:space="preserve">how the implementation of a new innovation may benefit </w:t>
      </w:r>
      <w:r w:rsidR="00652AFD" w:rsidRPr="00F539AE">
        <w:rPr>
          <w:rFonts w:cs="Arial"/>
          <w:noProof/>
          <w:sz w:val="24"/>
          <w:szCs w:val="24"/>
          <w:lang w:val="en-US"/>
        </w:rPr>
        <w:t>the target group or population segment</w:t>
      </w:r>
      <w:r w:rsidR="00094092" w:rsidRPr="00F539AE">
        <w:rPr>
          <w:rFonts w:cs="Arial"/>
          <w:noProof/>
          <w:sz w:val="24"/>
          <w:szCs w:val="24"/>
          <w:lang w:val="en-US"/>
        </w:rPr>
        <w:t>, and</w:t>
      </w:r>
      <w:r w:rsidR="00652AFD" w:rsidRPr="00F539AE">
        <w:rPr>
          <w:rFonts w:cs="Arial"/>
          <w:noProof/>
          <w:sz w:val="24"/>
          <w:szCs w:val="24"/>
          <w:lang w:val="en-US"/>
        </w:rPr>
        <w:t xml:space="preserve"> </w:t>
      </w:r>
      <w:r w:rsidR="00794752" w:rsidRPr="00F539AE">
        <w:rPr>
          <w:rFonts w:cs="Arial"/>
          <w:noProof/>
          <w:sz w:val="24"/>
          <w:szCs w:val="24"/>
          <w:lang w:val="en-US"/>
        </w:rPr>
        <w:t>we can</w:t>
      </w:r>
      <w:r w:rsidR="00C40FBA" w:rsidRPr="00F539AE">
        <w:rPr>
          <w:rFonts w:cs="Arial"/>
          <w:noProof/>
          <w:sz w:val="24"/>
          <w:szCs w:val="24"/>
          <w:lang w:val="en-US"/>
        </w:rPr>
        <w:t xml:space="preserve"> then</w:t>
      </w:r>
      <w:r w:rsidR="00794752" w:rsidRPr="00F539AE">
        <w:rPr>
          <w:rFonts w:cs="Arial"/>
          <w:noProof/>
          <w:sz w:val="24"/>
          <w:szCs w:val="24"/>
          <w:lang w:val="en-US"/>
        </w:rPr>
        <w:t xml:space="preserve"> </w:t>
      </w:r>
      <w:r w:rsidR="007A2800" w:rsidRPr="00F539AE">
        <w:rPr>
          <w:rFonts w:cs="Arial"/>
          <w:noProof/>
          <w:sz w:val="24"/>
          <w:szCs w:val="24"/>
          <w:lang w:val="en-US"/>
        </w:rPr>
        <w:t xml:space="preserve">offer </w:t>
      </w:r>
      <w:r w:rsidR="00794752" w:rsidRPr="00F539AE">
        <w:rPr>
          <w:rFonts w:cs="Arial"/>
          <w:noProof/>
          <w:sz w:val="24"/>
          <w:szCs w:val="24"/>
          <w:lang w:val="en-US"/>
        </w:rPr>
        <w:t xml:space="preserve">additional </w:t>
      </w:r>
      <w:r w:rsidR="007A2800" w:rsidRPr="00F539AE">
        <w:rPr>
          <w:rFonts w:cs="Arial"/>
          <w:noProof/>
          <w:sz w:val="24"/>
          <w:szCs w:val="24"/>
          <w:lang w:val="en-US"/>
        </w:rPr>
        <w:t xml:space="preserve">support </w:t>
      </w:r>
      <w:r w:rsidR="00652AFD" w:rsidRPr="00F539AE">
        <w:rPr>
          <w:rFonts w:cs="Arial"/>
          <w:noProof/>
          <w:sz w:val="24"/>
          <w:szCs w:val="24"/>
          <w:lang w:val="en-US"/>
        </w:rPr>
        <w:t>through</w:t>
      </w:r>
      <w:r w:rsidR="00F65001" w:rsidRPr="00F539AE">
        <w:rPr>
          <w:rFonts w:cs="Arial"/>
          <w:noProof/>
          <w:sz w:val="24"/>
          <w:szCs w:val="24"/>
          <w:lang w:val="en-US"/>
        </w:rPr>
        <w:t xml:space="preserve"> </w:t>
      </w:r>
      <w:commentRangeStart w:id="3"/>
      <w:r w:rsidR="00F65001" w:rsidRPr="00F539AE">
        <w:rPr>
          <w:rFonts w:cs="Arial"/>
          <w:noProof/>
          <w:sz w:val="24"/>
          <w:szCs w:val="24"/>
          <w:lang w:val="en-US"/>
        </w:rPr>
        <w:t>p</w:t>
      </w:r>
      <w:r w:rsidR="00794752" w:rsidRPr="00F539AE">
        <w:rPr>
          <w:rFonts w:cs="Arial"/>
          <w:noProof/>
          <w:sz w:val="24"/>
          <w:szCs w:val="24"/>
          <w:lang w:val="en-US"/>
        </w:rPr>
        <w:t>roviding a</w:t>
      </w:r>
      <w:r w:rsidR="00AE5554" w:rsidRPr="00F539AE">
        <w:rPr>
          <w:rFonts w:cs="Arial"/>
          <w:noProof/>
          <w:sz w:val="24"/>
          <w:szCs w:val="24"/>
          <w:lang w:val="en-US"/>
        </w:rPr>
        <w:t xml:space="preserve"> health equality impact assessment</w:t>
      </w:r>
      <w:r w:rsidR="00F65001" w:rsidRPr="00F539AE">
        <w:rPr>
          <w:rFonts w:cs="Arial"/>
          <w:noProof/>
          <w:sz w:val="24"/>
          <w:szCs w:val="24"/>
          <w:lang w:val="en-US"/>
        </w:rPr>
        <w:t>, r</w:t>
      </w:r>
      <w:r w:rsidR="00794752" w:rsidRPr="00F539AE">
        <w:rPr>
          <w:rFonts w:cs="Arial"/>
          <w:noProof/>
          <w:sz w:val="24"/>
          <w:szCs w:val="24"/>
          <w:lang w:val="en-US"/>
        </w:rPr>
        <w:t>unning a</w:t>
      </w:r>
      <w:r w:rsidR="00775B1E" w:rsidRPr="00F539AE">
        <w:rPr>
          <w:rFonts w:cs="Arial"/>
          <w:noProof/>
          <w:sz w:val="24"/>
          <w:szCs w:val="24"/>
          <w:lang w:val="en-US"/>
        </w:rPr>
        <w:t xml:space="preserve"> series of evaluations to check whether the change being made </w:t>
      </w:r>
      <w:r w:rsidRPr="00F539AE">
        <w:rPr>
          <w:rFonts w:cs="Arial"/>
          <w:noProof/>
          <w:sz w:val="24"/>
          <w:szCs w:val="24"/>
          <w:lang w:val="en-US"/>
        </w:rPr>
        <w:t>wa</w:t>
      </w:r>
      <w:r w:rsidR="00775B1E" w:rsidRPr="00F539AE">
        <w:rPr>
          <w:rFonts w:cs="Arial"/>
          <w:noProof/>
          <w:sz w:val="24"/>
          <w:szCs w:val="24"/>
          <w:lang w:val="en-US"/>
        </w:rPr>
        <w:t>s making a difference</w:t>
      </w:r>
      <w:r w:rsidR="00F65001" w:rsidRPr="00F539AE">
        <w:rPr>
          <w:rFonts w:cs="Arial"/>
          <w:noProof/>
          <w:sz w:val="24"/>
          <w:szCs w:val="24"/>
          <w:lang w:val="en-US"/>
        </w:rPr>
        <w:t>, c</w:t>
      </w:r>
      <w:r w:rsidR="00AE5554" w:rsidRPr="00F539AE">
        <w:rPr>
          <w:rFonts w:cs="Arial"/>
          <w:noProof/>
          <w:sz w:val="24"/>
          <w:szCs w:val="24"/>
          <w:lang w:val="en-US"/>
        </w:rPr>
        <w:t>reat</w:t>
      </w:r>
      <w:r w:rsidR="00652AFD" w:rsidRPr="00F539AE">
        <w:rPr>
          <w:rFonts w:cs="Arial"/>
          <w:noProof/>
          <w:sz w:val="24"/>
          <w:szCs w:val="24"/>
          <w:lang w:val="en-US"/>
        </w:rPr>
        <w:t>ing</w:t>
      </w:r>
      <w:r w:rsidR="00AE5554" w:rsidRPr="00F539AE">
        <w:rPr>
          <w:rFonts w:cs="Arial"/>
          <w:noProof/>
          <w:sz w:val="24"/>
          <w:szCs w:val="24"/>
          <w:lang w:val="en-US"/>
        </w:rPr>
        <w:t xml:space="preserve"> a learning health system or a PDS</w:t>
      </w:r>
      <w:r w:rsidR="00FC0C7C" w:rsidRPr="00F539AE">
        <w:rPr>
          <w:rFonts w:cs="Arial"/>
          <w:noProof/>
          <w:sz w:val="24"/>
          <w:szCs w:val="24"/>
          <w:lang w:val="en-US"/>
        </w:rPr>
        <w:t>E</w:t>
      </w:r>
      <w:r w:rsidR="00AE5554" w:rsidRPr="00F539AE">
        <w:rPr>
          <w:rFonts w:cs="Arial"/>
          <w:noProof/>
          <w:sz w:val="24"/>
          <w:szCs w:val="24"/>
          <w:lang w:val="en-US"/>
        </w:rPr>
        <w:t xml:space="preserve"> cycle (plan, do, study, act)</w:t>
      </w:r>
      <w:r w:rsidR="00AF244E" w:rsidRPr="00F539AE">
        <w:rPr>
          <w:rFonts w:cs="Arial"/>
          <w:noProof/>
          <w:sz w:val="24"/>
          <w:szCs w:val="24"/>
          <w:lang w:val="en-US"/>
        </w:rPr>
        <w:t xml:space="preserve"> and</w:t>
      </w:r>
      <w:r w:rsidR="00652AFD" w:rsidRPr="00F539AE">
        <w:rPr>
          <w:rFonts w:cs="Arial"/>
          <w:noProof/>
          <w:sz w:val="24"/>
          <w:szCs w:val="24"/>
          <w:lang w:val="en-US"/>
        </w:rPr>
        <w:t xml:space="preserve"> continually iterating</w:t>
      </w:r>
      <w:r w:rsidR="00AE5554" w:rsidRPr="00F539AE">
        <w:rPr>
          <w:rFonts w:cs="Arial"/>
          <w:noProof/>
          <w:sz w:val="24"/>
          <w:szCs w:val="24"/>
          <w:lang w:val="en-US"/>
        </w:rPr>
        <w:t xml:space="preserve"> </w:t>
      </w:r>
      <w:r w:rsidR="00652AFD" w:rsidRPr="00F539AE">
        <w:rPr>
          <w:rFonts w:cs="Arial"/>
          <w:noProof/>
          <w:sz w:val="24"/>
          <w:szCs w:val="24"/>
          <w:lang w:val="en-US"/>
        </w:rPr>
        <w:t xml:space="preserve">an </w:t>
      </w:r>
      <w:r w:rsidR="00AE5554" w:rsidRPr="00F539AE">
        <w:rPr>
          <w:rFonts w:cs="Arial"/>
          <w:noProof/>
          <w:sz w:val="24"/>
          <w:szCs w:val="24"/>
          <w:lang w:val="en-US"/>
        </w:rPr>
        <w:t xml:space="preserve">intervention to ensure it’s going </w:t>
      </w:r>
      <w:r w:rsidR="00C40FBA" w:rsidRPr="00F539AE">
        <w:rPr>
          <w:rFonts w:cs="Arial"/>
          <w:noProof/>
          <w:sz w:val="24"/>
          <w:szCs w:val="24"/>
          <w:lang w:val="en-US"/>
        </w:rPr>
        <w:t xml:space="preserve">the right direction </w:t>
      </w:r>
      <w:r w:rsidR="00AE5554" w:rsidRPr="00F539AE">
        <w:rPr>
          <w:rFonts w:cs="Arial"/>
          <w:noProof/>
          <w:sz w:val="24"/>
          <w:szCs w:val="24"/>
          <w:lang w:val="en-US"/>
        </w:rPr>
        <w:t xml:space="preserve">to achieve the </w:t>
      </w:r>
      <w:r w:rsidR="00C40FBA" w:rsidRPr="00F539AE">
        <w:rPr>
          <w:rFonts w:cs="Arial"/>
          <w:noProof/>
          <w:sz w:val="24"/>
          <w:szCs w:val="24"/>
          <w:lang w:val="en-US"/>
        </w:rPr>
        <w:t>desired</w:t>
      </w:r>
      <w:r w:rsidR="00FC0C7C" w:rsidRPr="00F539AE">
        <w:rPr>
          <w:rFonts w:cs="Arial"/>
          <w:noProof/>
          <w:sz w:val="24"/>
          <w:szCs w:val="24"/>
          <w:lang w:val="en-US"/>
        </w:rPr>
        <w:t>.</w:t>
      </w:r>
      <w:commentRangeEnd w:id="3"/>
      <w:r w:rsidR="00F65001" w:rsidRPr="00F539AE">
        <w:rPr>
          <w:rStyle w:val="CommentReference"/>
          <w:noProof/>
          <w:lang w:val="en-US"/>
        </w:rPr>
        <w:commentReference w:id="3"/>
      </w:r>
    </w:p>
    <w:p w14:paraId="3DA28D8D" w14:textId="1DC71855" w:rsidR="00E748BD" w:rsidRPr="00F539AE" w:rsidRDefault="00E748BD" w:rsidP="00E748BD">
      <w:pPr>
        <w:rPr>
          <w:rFonts w:cs="Arial"/>
          <w:b/>
          <w:noProof/>
          <w:color w:val="0070C0"/>
          <w:lang w:val="en-US"/>
        </w:rPr>
      </w:pPr>
      <w:r w:rsidRPr="00F539AE">
        <w:rPr>
          <w:rFonts w:cs="Arial"/>
          <w:b/>
          <w:noProof/>
          <w:color w:val="0070C0"/>
          <w:lang w:val="en-US"/>
        </w:rPr>
        <w:t xml:space="preserve">Why choose </w:t>
      </w:r>
      <w:r w:rsidR="00323DE3" w:rsidRPr="00323DE3">
        <w:rPr>
          <w:rFonts w:cs="Arial"/>
          <w:b/>
          <w:noProof/>
          <w:color w:val="0070C0"/>
          <w:lang w:val="en-US"/>
        </w:rPr>
        <w:t>ICHP</w:t>
      </w:r>
      <w:r w:rsidRPr="00F539AE">
        <w:rPr>
          <w:rFonts w:cs="Arial"/>
          <w:b/>
          <w:noProof/>
          <w:color w:val="0070C0"/>
          <w:lang w:val="en-US"/>
        </w:rPr>
        <w:t>?</w:t>
      </w:r>
    </w:p>
    <w:p w14:paraId="0060324B" w14:textId="3F340D8A" w:rsidR="002A723B" w:rsidRPr="00F539AE" w:rsidRDefault="002A723B" w:rsidP="002A723B">
      <w:pPr>
        <w:rPr>
          <w:rFonts w:cs="Arial"/>
          <w:noProof/>
          <w:lang w:val="en-US"/>
        </w:rPr>
      </w:pPr>
      <w:r w:rsidRPr="00F539AE">
        <w:rPr>
          <w:rFonts w:cs="Arial"/>
          <w:noProof/>
          <w:lang w:val="en-US"/>
        </w:rPr>
        <w:t>Our business intelligence team is leading the way in population health analysis</w:t>
      </w:r>
      <w:r w:rsidR="00FC0C7C" w:rsidRPr="00F539AE">
        <w:rPr>
          <w:rFonts w:cs="Arial"/>
          <w:noProof/>
          <w:lang w:val="en-US"/>
        </w:rPr>
        <w:t xml:space="preserve">, </w:t>
      </w:r>
      <w:r w:rsidRPr="00F539AE">
        <w:rPr>
          <w:rFonts w:cs="Arial"/>
          <w:noProof/>
          <w:lang w:val="en-US"/>
        </w:rPr>
        <w:t>provid</w:t>
      </w:r>
      <w:r w:rsidR="00FC0C7C" w:rsidRPr="00F539AE">
        <w:rPr>
          <w:rFonts w:cs="Arial"/>
          <w:noProof/>
          <w:lang w:val="en-US"/>
        </w:rPr>
        <w:t>ing</w:t>
      </w:r>
      <w:r w:rsidRPr="00F539AE">
        <w:rPr>
          <w:rFonts w:cs="Arial"/>
          <w:noProof/>
          <w:lang w:val="en-US"/>
        </w:rPr>
        <w:t xml:space="preserve"> guidance on the metrics used in the national population health analytics dashboard commissioned by NHS England. </w:t>
      </w:r>
      <w:r w:rsidR="00862E6B" w:rsidRPr="00F539AE">
        <w:rPr>
          <w:rFonts w:cs="Arial"/>
          <w:noProof/>
          <w:lang w:val="en-US"/>
        </w:rPr>
        <w:t>Furthermore o</w:t>
      </w:r>
      <w:r w:rsidRPr="00F539AE">
        <w:rPr>
          <w:rFonts w:cs="Arial"/>
          <w:noProof/>
          <w:lang w:val="en-US"/>
        </w:rPr>
        <w:t>ther significant projects includ</w:t>
      </w:r>
      <w:r w:rsidR="00FC0C7C" w:rsidRPr="00F539AE">
        <w:rPr>
          <w:rFonts w:cs="Arial"/>
          <w:noProof/>
          <w:lang w:val="en-US"/>
        </w:rPr>
        <w:t>ing</w:t>
      </w:r>
      <w:r w:rsidRPr="00F539AE">
        <w:rPr>
          <w:rFonts w:cs="Arial"/>
          <w:noProof/>
          <w:lang w:val="en-US"/>
        </w:rPr>
        <w:t xml:space="preserve"> providing national dashboards for population health management for atrial fibrillation for NHS </w:t>
      </w:r>
      <w:r w:rsidR="00094092" w:rsidRPr="00F539AE">
        <w:rPr>
          <w:rFonts w:cs="Arial"/>
          <w:noProof/>
          <w:lang w:val="en-US"/>
        </w:rPr>
        <w:t>RightCare,</w:t>
      </w:r>
      <w:r w:rsidRPr="00F539AE">
        <w:rPr>
          <w:rFonts w:cs="Arial"/>
          <w:noProof/>
          <w:lang w:val="en-US"/>
        </w:rPr>
        <w:t xml:space="preserve"> and for sepsis for the Patient Safety Collaborative.</w:t>
      </w:r>
    </w:p>
    <w:p w14:paraId="38905721" w14:textId="67C63034" w:rsidR="00550DC0" w:rsidRPr="00F539AE" w:rsidRDefault="00E748BD" w:rsidP="00550DC0">
      <w:pPr>
        <w:rPr>
          <w:rFonts w:cs="Arial"/>
          <w:noProof/>
          <w:lang w:val="en-US"/>
        </w:rPr>
      </w:pPr>
      <w:r w:rsidRPr="00F539AE">
        <w:rPr>
          <w:rFonts w:cs="Arial"/>
          <w:noProof/>
          <w:lang w:val="en-US"/>
        </w:rPr>
        <w:t>We have a strong and growing analytics team with access to, and knowledge of, local and national data</w:t>
      </w:r>
      <w:r w:rsidR="001C10A1" w:rsidRPr="00F539AE">
        <w:rPr>
          <w:rFonts w:cs="Arial"/>
          <w:noProof/>
          <w:lang w:val="en-US"/>
        </w:rPr>
        <w:t>sets</w:t>
      </w:r>
      <w:r w:rsidRPr="00F539AE">
        <w:rPr>
          <w:rFonts w:cs="Arial"/>
          <w:noProof/>
          <w:lang w:val="en-US"/>
        </w:rPr>
        <w:t>, providing our health economists with the real-world data they need to produce impactful and insightful analyses.</w:t>
      </w:r>
    </w:p>
    <w:p w14:paraId="1FF440B4" w14:textId="77777777" w:rsidR="000D1FDC" w:rsidRPr="00F539AE" w:rsidRDefault="000D1FDC" w:rsidP="00B17377">
      <w:pPr>
        <w:rPr>
          <w:rFonts w:cs="Arial"/>
          <w:b/>
          <w:noProof/>
          <w:lang w:val="en-US"/>
        </w:rPr>
      </w:pPr>
    </w:p>
    <w:p w14:paraId="2C5A5A30" w14:textId="77777777" w:rsidR="00862E6B" w:rsidRPr="00F539AE" w:rsidRDefault="00862E6B">
      <w:pPr>
        <w:rPr>
          <w:rFonts w:cs="Arial"/>
          <w:noProof/>
          <w:lang w:val="en-US"/>
        </w:rPr>
      </w:pPr>
      <w:r w:rsidRPr="00F539AE">
        <w:rPr>
          <w:rFonts w:cs="Arial"/>
          <w:noProof/>
          <w:lang w:val="en-US"/>
        </w:rPr>
        <w:br w:type="page"/>
      </w:r>
    </w:p>
    <w:p w14:paraId="7F0B4AD9" w14:textId="70A606A8" w:rsidR="00630B77" w:rsidRPr="00F539AE" w:rsidRDefault="00630B77" w:rsidP="00B17377">
      <w:pPr>
        <w:rPr>
          <w:rFonts w:cs="Arial"/>
          <w:noProof/>
          <w:color w:val="0072C6"/>
          <w:lang w:val="en-US"/>
        </w:rPr>
      </w:pPr>
      <w:r w:rsidRPr="00F539AE">
        <w:rPr>
          <w:rFonts w:cs="Arial"/>
          <w:noProof/>
          <w:color w:val="0072C6"/>
          <w:lang w:val="en-US"/>
        </w:rPr>
        <w:lastRenderedPageBreak/>
        <w:t>Access to data</w:t>
      </w:r>
    </w:p>
    <w:p w14:paraId="719A28BB" w14:textId="166A9497" w:rsidR="00630B77" w:rsidRPr="00F539AE" w:rsidRDefault="00323DE3" w:rsidP="000215DB">
      <w:pPr>
        <w:jc w:val="both"/>
        <w:rPr>
          <w:rFonts w:cs="Arial"/>
          <w:noProof/>
          <w:lang w:val="en-US"/>
        </w:rPr>
      </w:pPr>
      <w:r>
        <w:rPr>
          <w:rFonts w:cs="Arial"/>
          <w:noProof/>
          <w:lang w:val="en-US"/>
        </w:rPr>
        <w:t>ICHP</w:t>
      </w:r>
      <w:r w:rsidR="00F246CA" w:rsidRPr="00F539AE">
        <w:rPr>
          <w:rFonts w:cs="Arial"/>
          <w:noProof/>
          <w:lang w:val="en-US"/>
        </w:rPr>
        <w:t xml:space="preserve">’s access to data is second to none – a crucial advantage in a realm where the best possible data is essential for the best decision-making. </w:t>
      </w:r>
      <w:r w:rsidR="00630B77" w:rsidRPr="00F539AE">
        <w:rPr>
          <w:rFonts w:cs="Arial"/>
          <w:noProof/>
          <w:lang w:val="en-US"/>
        </w:rPr>
        <w:t>In addition to public</w:t>
      </w:r>
      <w:r w:rsidR="00FC0C7C" w:rsidRPr="00F539AE">
        <w:rPr>
          <w:rFonts w:cs="Arial"/>
          <w:noProof/>
          <w:lang w:val="en-US"/>
        </w:rPr>
        <w:t>al</w:t>
      </w:r>
      <w:r w:rsidR="00630B77" w:rsidRPr="00F539AE">
        <w:rPr>
          <w:rFonts w:cs="Arial"/>
          <w:noProof/>
          <w:lang w:val="en-US"/>
        </w:rPr>
        <w:t xml:space="preserve">ly available datasets from NHS </w:t>
      </w:r>
      <w:r w:rsidR="00EB68A8" w:rsidRPr="00F539AE">
        <w:rPr>
          <w:rFonts w:cs="Arial"/>
          <w:noProof/>
          <w:lang w:val="en-US"/>
        </w:rPr>
        <w:t>d</w:t>
      </w:r>
      <w:r w:rsidR="00630B77" w:rsidRPr="00F539AE">
        <w:rPr>
          <w:rFonts w:cs="Arial"/>
          <w:noProof/>
          <w:lang w:val="en-US"/>
        </w:rPr>
        <w:t>igital, P</w:t>
      </w:r>
      <w:r w:rsidR="00AF244E" w:rsidRPr="00F539AE">
        <w:rPr>
          <w:rFonts w:cs="Arial"/>
          <w:noProof/>
          <w:lang w:val="en-US"/>
        </w:rPr>
        <w:t xml:space="preserve">ublic </w:t>
      </w:r>
      <w:r w:rsidR="00630B77" w:rsidRPr="00F539AE">
        <w:rPr>
          <w:rFonts w:cs="Arial"/>
          <w:noProof/>
          <w:lang w:val="en-US"/>
        </w:rPr>
        <w:t>H</w:t>
      </w:r>
      <w:r w:rsidR="00AF244E" w:rsidRPr="00F539AE">
        <w:rPr>
          <w:rFonts w:cs="Arial"/>
          <w:noProof/>
          <w:lang w:val="en-US"/>
        </w:rPr>
        <w:t xml:space="preserve">ealth </w:t>
      </w:r>
      <w:r w:rsidR="00630B77" w:rsidRPr="00F539AE">
        <w:rPr>
          <w:rFonts w:cs="Arial"/>
          <w:noProof/>
          <w:lang w:val="en-US"/>
        </w:rPr>
        <w:t>E</w:t>
      </w:r>
      <w:r w:rsidR="00AF244E" w:rsidRPr="00F539AE">
        <w:rPr>
          <w:rFonts w:cs="Arial"/>
          <w:noProof/>
          <w:lang w:val="en-US"/>
        </w:rPr>
        <w:t>ngland</w:t>
      </w:r>
      <w:r w:rsidR="00630B77" w:rsidRPr="00F539AE">
        <w:rPr>
          <w:rFonts w:cs="Arial"/>
          <w:noProof/>
          <w:lang w:val="en-US"/>
        </w:rPr>
        <w:t xml:space="preserve"> and the Office </w:t>
      </w:r>
      <w:r w:rsidR="00EB68A8" w:rsidRPr="00F539AE">
        <w:rPr>
          <w:rFonts w:cs="Arial"/>
          <w:noProof/>
          <w:lang w:val="en-US"/>
        </w:rPr>
        <w:t>o</w:t>
      </w:r>
      <w:r w:rsidR="00C56917" w:rsidRPr="00F539AE">
        <w:rPr>
          <w:rFonts w:cs="Arial"/>
          <w:noProof/>
          <w:lang w:val="en-US"/>
        </w:rPr>
        <w:t>f</w:t>
      </w:r>
      <w:r w:rsidR="00630B77" w:rsidRPr="00F539AE">
        <w:rPr>
          <w:rFonts w:cs="Arial"/>
          <w:noProof/>
          <w:lang w:val="en-US"/>
        </w:rPr>
        <w:t xml:space="preserve"> National Statistics, </w:t>
      </w:r>
      <w:r>
        <w:rPr>
          <w:rFonts w:cs="Arial"/>
          <w:noProof/>
          <w:lang w:val="en-US"/>
        </w:rPr>
        <w:t>ICHP</w:t>
      </w:r>
      <w:r w:rsidR="00630B77" w:rsidRPr="00F539AE">
        <w:rPr>
          <w:rFonts w:cs="Arial"/>
          <w:noProof/>
          <w:lang w:val="en-US"/>
        </w:rPr>
        <w:t xml:space="preserve"> ha</w:t>
      </w:r>
      <w:r w:rsidR="00473D08" w:rsidRPr="00F539AE">
        <w:rPr>
          <w:rFonts w:cs="Arial"/>
          <w:noProof/>
          <w:lang w:val="en-US"/>
        </w:rPr>
        <w:t>ve</w:t>
      </w:r>
      <w:r w:rsidR="00630B77" w:rsidRPr="00F539AE">
        <w:rPr>
          <w:rFonts w:cs="Arial"/>
          <w:noProof/>
          <w:lang w:val="en-US"/>
        </w:rPr>
        <w:t xml:space="preserve"> access to </w:t>
      </w:r>
      <w:r w:rsidR="00274E72" w:rsidRPr="00F539AE">
        <w:rPr>
          <w:rFonts w:cs="Arial"/>
          <w:noProof/>
          <w:lang w:val="en-US"/>
        </w:rPr>
        <w:t xml:space="preserve">a number of </w:t>
      </w:r>
      <w:r w:rsidR="00630B77" w:rsidRPr="00F539AE">
        <w:rPr>
          <w:rFonts w:cs="Arial"/>
          <w:noProof/>
          <w:lang w:val="en-US"/>
        </w:rPr>
        <w:t>specialist information assets</w:t>
      </w:r>
      <w:r w:rsidR="00274E72" w:rsidRPr="00F539AE">
        <w:rPr>
          <w:rFonts w:cs="Arial"/>
          <w:noProof/>
          <w:lang w:val="en-US"/>
        </w:rPr>
        <w:t>.</w:t>
      </w:r>
    </w:p>
    <w:p w14:paraId="7E3496C8" w14:textId="2DEB5D71" w:rsidR="00274E72" w:rsidRPr="00F539AE" w:rsidRDefault="008664B1" w:rsidP="00274E72">
      <w:pPr>
        <w:pStyle w:val="Heading2"/>
        <w:numPr>
          <w:ilvl w:val="0"/>
          <w:numId w:val="8"/>
        </w:numPr>
        <w:rPr>
          <w:noProof/>
          <w:lang w:val="en-US"/>
        </w:rPr>
      </w:pPr>
      <w:r w:rsidRPr="00F539AE">
        <w:rPr>
          <w:noProof/>
          <w:lang w:val="en-US"/>
        </w:rPr>
        <w:t>Record level hospital activity data (HES)</w:t>
      </w:r>
      <w:r w:rsidRPr="00F539AE">
        <w:rPr>
          <w:rStyle w:val="FootnoteReference"/>
          <w:rFonts w:ascii="Arial" w:hAnsi="Arial" w:cs="Arial"/>
          <w:b/>
          <w:noProof/>
          <w:lang w:val="en-US"/>
        </w:rPr>
        <w:footnoteReference w:id="1"/>
      </w:r>
    </w:p>
    <w:p w14:paraId="684652C1" w14:textId="318609D9" w:rsidR="008664B1" w:rsidRPr="00F539AE" w:rsidRDefault="00CF0AD7" w:rsidP="00274E72">
      <w:pPr>
        <w:spacing w:after="0"/>
        <w:rPr>
          <w:rFonts w:cs="Arial"/>
          <w:noProof/>
          <w:lang w:val="en-US"/>
        </w:rPr>
      </w:pPr>
      <w:r w:rsidRPr="00F539AE">
        <w:rPr>
          <w:rFonts w:cs="Arial"/>
          <w:noProof/>
          <w:lang w:val="en-US"/>
        </w:rPr>
        <w:t xml:space="preserve">A </w:t>
      </w:r>
      <w:r w:rsidR="008664B1" w:rsidRPr="00F539AE">
        <w:rPr>
          <w:rFonts w:cs="Arial"/>
          <w:noProof/>
          <w:lang w:val="en-US"/>
        </w:rPr>
        <w:t xml:space="preserve">10-year dataset linked at depersonalised patient record level by a unique HES ID number, enabling longitudinal analysis. This dataset is available for all NHS organisations nationally and incorporates inpatient, outpatient, A&amp;E, critical care and mental health data. </w:t>
      </w:r>
      <w:r w:rsidR="00B94ECD" w:rsidRPr="00F539AE">
        <w:rPr>
          <w:rFonts w:cs="Arial"/>
          <w:noProof/>
          <w:lang w:val="en-US"/>
        </w:rPr>
        <w:t xml:space="preserve">Civil </w:t>
      </w:r>
      <w:r w:rsidR="00473D08" w:rsidRPr="00F539AE">
        <w:rPr>
          <w:rFonts w:cs="Arial"/>
          <w:noProof/>
          <w:lang w:val="en-US"/>
        </w:rPr>
        <w:t>r</w:t>
      </w:r>
      <w:r w:rsidR="00B94ECD" w:rsidRPr="00F539AE">
        <w:rPr>
          <w:rFonts w:cs="Arial"/>
          <w:noProof/>
          <w:lang w:val="en-US"/>
        </w:rPr>
        <w:t>egistry</w:t>
      </w:r>
      <w:r w:rsidR="008664B1" w:rsidRPr="00F539AE">
        <w:rPr>
          <w:rFonts w:cs="Arial"/>
          <w:noProof/>
          <w:lang w:val="en-US"/>
        </w:rPr>
        <w:t xml:space="preserve"> mortality data is now also included in this dataset, enabling enhanced analysis related to health and mortality.</w:t>
      </w:r>
    </w:p>
    <w:p w14:paraId="22D657D0" w14:textId="2BD360BE" w:rsidR="00274E72" w:rsidRPr="00F539AE" w:rsidRDefault="00274E72" w:rsidP="00274E72">
      <w:pPr>
        <w:spacing w:after="0"/>
        <w:rPr>
          <w:rFonts w:cs="Arial"/>
          <w:b/>
          <w:noProof/>
          <w:lang w:val="en-US"/>
        </w:rPr>
      </w:pPr>
      <w:r w:rsidRPr="00F539AE">
        <w:rPr>
          <w:rFonts w:cs="Arial"/>
          <w:b/>
          <w:noProof/>
          <w:lang w:val="en-US"/>
        </w:rPr>
        <w:t>2</w:t>
      </w:r>
      <w:r w:rsidRPr="00F539AE">
        <w:rPr>
          <w:rFonts w:cs="Arial"/>
          <w:b/>
          <w:noProof/>
          <w:lang w:val="en-US"/>
        </w:rPr>
        <w:tab/>
      </w:r>
      <w:r w:rsidR="008664B1" w:rsidRPr="00F539AE">
        <w:rPr>
          <w:rFonts w:cs="Arial"/>
          <w:b/>
          <w:noProof/>
          <w:lang w:val="en-US"/>
        </w:rPr>
        <w:t>The North West London Whole Systems Integrated Care (WSIC) database</w:t>
      </w:r>
    </w:p>
    <w:p w14:paraId="6CE1B08B" w14:textId="09C9EEAF" w:rsidR="008664B1" w:rsidRPr="00F539AE" w:rsidRDefault="00CF0AD7" w:rsidP="00274E72">
      <w:pPr>
        <w:spacing w:after="0"/>
        <w:rPr>
          <w:rFonts w:cs="Arial"/>
          <w:noProof/>
          <w:lang w:val="en-US"/>
        </w:rPr>
      </w:pPr>
      <w:r w:rsidRPr="00F539AE">
        <w:rPr>
          <w:rFonts w:cs="Arial"/>
          <w:noProof/>
          <w:lang w:val="en-US"/>
        </w:rPr>
        <w:t>A</w:t>
      </w:r>
      <w:r w:rsidR="008664B1" w:rsidRPr="00F539AE">
        <w:rPr>
          <w:rFonts w:cs="Arial"/>
          <w:noProof/>
          <w:lang w:val="en-US"/>
        </w:rPr>
        <w:t xml:space="preserve"> unique dataset, created for the purpose of direct care which links primary, secondary, mental health, community and adult social care data for over two million people and 370 GP practices in </w:t>
      </w:r>
      <w:r w:rsidR="00EB68A8" w:rsidRPr="00F539AE">
        <w:rPr>
          <w:rFonts w:cs="Arial"/>
          <w:noProof/>
          <w:lang w:val="en-US"/>
        </w:rPr>
        <w:t>NWL</w:t>
      </w:r>
    </w:p>
    <w:p w14:paraId="5C06C0DD" w14:textId="39627E6A" w:rsidR="00274E72" w:rsidRPr="00F539AE" w:rsidRDefault="00274E72" w:rsidP="00274E72">
      <w:pPr>
        <w:pStyle w:val="ListParagraph"/>
        <w:numPr>
          <w:ilvl w:val="0"/>
          <w:numId w:val="8"/>
        </w:numPr>
        <w:spacing w:after="0"/>
        <w:rPr>
          <w:rFonts w:asciiTheme="majorHAnsi" w:hAnsiTheme="majorHAnsi" w:cs="Arial"/>
          <w:b/>
          <w:noProof/>
          <w:lang w:val="en-US"/>
        </w:rPr>
      </w:pPr>
      <w:r w:rsidRPr="00F539AE">
        <w:rPr>
          <w:rFonts w:asciiTheme="majorHAnsi" w:hAnsiTheme="majorHAnsi" w:cs="Arial"/>
          <w:b/>
          <w:noProof/>
          <w:lang w:val="en-US"/>
        </w:rPr>
        <w:t xml:space="preserve">3. </w:t>
      </w:r>
      <w:r w:rsidR="008664B1" w:rsidRPr="00F539AE">
        <w:rPr>
          <w:rFonts w:asciiTheme="majorHAnsi" w:hAnsiTheme="majorHAnsi" w:cs="Arial"/>
          <w:b/>
          <w:noProof/>
          <w:lang w:val="en-US"/>
        </w:rPr>
        <w:t>Clinical Practice Research Datalink (CPRD)</w:t>
      </w:r>
    </w:p>
    <w:p w14:paraId="293EBD0F" w14:textId="6B0C903F" w:rsidR="008664B1" w:rsidRPr="00F539AE" w:rsidRDefault="00CF0AD7" w:rsidP="00274E72">
      <w:pPr>
        <w:spacing w:after="0"/>
        <w:rPr>
          <w:rFonts w:asciiTheme="majorHAnsi" w:hAnsiTheme="majorHAnsi" w:cs="Arial"/>
          <w:noProof/>
          <w:lang w:val="en-US"/>
        </w:rPr>
      </w:pPr>
      <w:r w:rsidRPr="00F539AE">
        <w:rPr>
          <w:rFonts w:asciiTheme="majorHAnsi" w:hAnsiTheme="majorHAnsi" w:cs="Arial"/>
          <w:noProof/>
          <w:lang w:val="en-US"/>
        </w:rPr>
        <w:t>A</w:t>
      </w:r>
      <w:r w:rsidR="008664B1" w:rsidRPr="00F539AE">
        <w:rPr>
          <w:rFonts w:asciiTheme="majorHAnsi" w:hAnsiTheme="majorHAnsi" w:cs="Arial"/>
          <w:noProof/>
          <w:lang w:val="en-US"/>
        </w:rPr>
        <w:t>nonymised primary care records for public health research. A governmental, not-for-profit research service, CPRD</w:t>
      </w:r>
      <w:r w:rsidR="00790486" w:rsidRPr="00F539AE">
        <w:rPr>
          <w:rFonts w:asciiTheme="majorHAnsi" w:hAnsiTheme="majorHAnsi" w:cs="Arial"/>
          <w:noProof/>
          <w:lang w:val="en-US"/>
        </w:rPr>
        <w:t>,</w:t>
      </w:r>
      <w:r w:rsidR="008664B1" w:rsidRPr="00F539AE">
        <w:rPr>
          <w:rFonts w:asciiTheme="majorHAnsi" w:hAnsiTheme="majorHAnsi" w:cs="Arial"/>
          <w:noProof/>
          <w:lang w:val="en-US"/>
        </w:rPr>
        <w:t xml:space="preserve"> is jointly funded by the NHS National Institute for Health Research (NIHR) and the Medicines and Healthcare products Regulatory Agency (MHRA)</w:t>
      </w:r>
      <w:r w:rsidR="00790486" w:rsidRPr="00F539AE">
        <w:rPr>
          <w:rFonts w:asciiTheme="majorHAnsi" w:hAnsiTheme="majorHAnsi" w:cs="Arial"/>
          <w:noProof/>
          <w:lang w:val="en-US"/>
        </w:rPr>
        <w:t xml:space="preserve"> - </w:t>
      </w:r>
      <w:r w:rsidR="008664B1" w:rsidRPr="00F539AE">
        <w:rPr>
          <w:rFonts w:asciiTheme="majorHAnsi" w:hAnsiTheme="majorHAnsi" w:cs="Arial"/>
          <w:noProof/>
          <w:lang w:val="en-US"/>
        </w:rPr>
        <w:t xml:space="preserve"> a part of the Department of Health and Social Care. ICHP has access to reports from a CPRD-HES linked database to undertake research via our data partners Harvey Walsh.</w:t>
      </w:r>
    </w:p>
    <w:p w14:paraId="70B9DF7A" w14:textId="2AED015C" w:rsidR="00274E72" w:rsidRPr="00F539AE" w:rsidRDefault="00274E72" w:rsidP="00274E72">
      <w:pPr>
        <w:spacing w:after="0"/>
        <w:rPr>
          <w:rFonts w:cs="Arial"/>
          <w:b/>
          <w:noProof/>
          <w:lang w:val="en-US"/>
        </w:rPr>
      </w:pPr>
      <w:r w:rsidRPr="00F539AE">
        <w:rPr>
          <w:rFonts w:cs="Arial"/>
          <w:b/>
          <w:noProof/>
          <w:lang w:val="en-US"/>
        </w:rPr>
        <w:t xml:space="preserve">4. </w:t>
      </w:r>
      <w:r w:rsidR="008664B1" w:rsidRPr="00F539AE">
        <w:rPr>
          <w:rFonts w:cs="Arial"/>
          <w:b/>
          <w:noProof/>
          <w:lang w:val="en-US"/>
        </w:rPr>
        <w:t>Discover</w:t>
      </w:r>
    </w:p>
    <w:p w14:paraId="66E7A5F7" w14:textId="221DEA7F" w:rsidR="008664B1" w:rsidRPr="00F539AE" w:rsidRDefault="00CF0AD7" w:rsidP="00274E72">
      <w:pPr>
        <w:spacing w:after="0"/>
        <w:rPr>
          <w:rFonts w:cs="Arial"/>
          <w:noProof/>
          <w:lang w:val="en-US"/>
        </w:rPr>
      </w:pPr>
      <w:r w:rsidRPr="00F539AE">
        <w:rPr>
          <w:rFonts w:cs="Arial"/>
          <w:noProof/>
          <w:lang w:val="en-US"/>
        </w:rPr>
        <w:t>A</w:t>
      </w:r>
      <w:r w:rsidR="008664B1" w:rsidRPr="00F539AE">
        <w:rPr>
          <w:rFonts w:cs="Arial"/>
          <w:noProof/>
          <w:lang w:val="en-US"/>
        </w:rPr>
        <w:t>n essential tool for finding patients and healthy members of the North West London population who meet the clinical requirements for research trials, whilst also providing access (via WSIC) to a level of real world, de-identified health and social care data that is unrivalled in the UK.</w:t>
      </w:r>
    </w:p>
    <w:p w14:paraId="24CD6A67" w14:textId="02EAB1B8" w:rsidR="008664B1" w:rsidRPr="00F539AE" w:rsidRDefault="008664B1" w:rsidP="00D16309">
      <w:pPr>
        <w:rPr>
          <w:rFonts w:cs="Arial"/>
          <w:b/>
          <w:noProof/>
          <w:color w:val="0070C0"/>
          <w:lang w:val="en-US"/>
        </w:rPr>
      </w:pPr>
    </w:p>
    <w:p w14:paraId="00B08ED4" w14:textId="33A828B9" w:rsidR="00F65001" w:rsidRPr="00F539AE" w:rsidRDefault="00274E72" w:rsidP="00D16309">
      <w:pPr>
        <w:rPr>
          <w:rFonts w:cs="Arial"/>
          <w:b/>
          <w:noProof/>
          <w:color w:val="0070C0"/>
          <w:lang w:val="en-US"/>
        </w:rPr>
      </w:pPr>
      <w:r w:rsidRPr="00F539AE">
        <w:rPr>
          <w:rFonts w:cs="Arial"/>
          <w:b/>
          <w:noProof/>
          <w:color w:val="0070C0"/>
          <w:lang w:val="en-US"/>
        </w:rPr>
        <w:t xml:space="preserve">Where we work </w:t>
      </w:r>
    </w:p>
    <w:p w14:paraId="695A028B" w14:textId="19161928" w:rsidR="00F65001" w:rsidRPr="00F539AE" w:rsidRDefault="00274E72" w:rsidP="00F65001">
      <w:pPr>
        <w:rPr>
          <w:noProof/>
          <w:lang w:val="en-US"/>
        </w:rPr>
      </w:pPr>
      <w:r w:rsidRPr="00F539AE">
        <w:rPr>
          <w:noProof/>
          <w:lang w:val="en-US"/>
        </w:rPr>
        <w:t>ICHP operates across NorthWest London</w:t>
      </w:r>
      <w:r w:rsidR="00F65001" w:rsidRPr="00F539AE">
        <w:rPr>
          <w:noProof/>
          <w:lang w:val="en-US"/>
        </w:rPr>
        <w:t xml:space="preserve">The graph below shows the average population of London </w:t>
      </w:r>
    </w:p>
    <w:p w14:paraId="6A9A76F0" w14:textId="5EFF5276" w:rsidR="00F65001" w:rsidRPr="00F539AE" w:rsidRDefault="00F65001" w:rsidP="00D16309">
      <w:pPr>
        <w:rPr>
          <w:rFonts w:cs="Arial"/>
          <w:b/>
          <w:noProof/>
          <w:color w:val="0070C0"/>
          <w:lang w:val="en-US"/>
        </w:rPr>
      </w:pPr>
    </w:p>
    <w:p w14:paraId="08BE40E6" w14:textId="77777777" w:rsidR="00274E72" w:rsidRPr="00F539AE" w:rsidRDefault="00274E72" w:rsidP="00D16309">
      <w:pPr>
        <w:rPr>
          <w:rFonts w:cs="Arial"/>
          <w:b/>
          <w:noProof/>
          <w:color w:val="0070C0"/>
          <w:lang w:val="en-US"/>
        </w:rPr>
      </w:pPr>
    </w:p>
    <w:p w14:paraId="0E4422CE" w14:textId="77777777" w:rsidR="00274E72" w:rsidRPr="00F539AE" w:rsidRDefault="00274E72" w:rsidP="00D16309">
      <w:pPr>
        <w:rPr>
          <w:rFonts w:cs="Arial"/>
          <w:b/>
          <w:noProof/>
          <w:color w:val="0070C0"/>
          <w:lang w:val="en-US"/>
        </w:rPr>
      </w:pPr>
    </w:p>
    <w:p w14:paraId="522B73F9" w14:textId="77777777" w:rsidR="00274E72" w:rsidRPr="00F539AE" w:rsidRDefault="00274E72" w:rsidP="00D16309">
      <w:pPr>
        <w:rPr>
          <w:rFonts w:cs="Arial"/>
          <w:b/>
          <w:noProof/>
          <w:color w:val="0070C0"/>
          <w:lang w:val="en-US"/>
        </w:rPr>
      </w:pPr>
    </w:p>
    <w:p w14:paraId="540A7CD9" w14:textId="77777777" w:rsidR="00274E72" w:rsidRPr="00F539AE" w:rsidRDefault="00274E72" w:rsidP="00D16309">
      <w:pPr>
        <w:rPr>
          <w:rFonts w:cs="Arial"/>
          <w:b/>
          <w:noProof/>
          <w:color w:val="0070C0"/>
          <w:lang w:val="en-US"/>
        </w:rPr>
      </w:pPr>
    </w:p>
    <w:p w14:paraId="771A7A99" w14:textId="77777777" w:rsidR="00274E72" w:rsidRPr="00F539AE" w:rsidRDefault="00274E72" w:rsidP="00D16309">
      <w:pPr>
        <w:rPr>
          <w:rFonts w:cs="Arial"/>
          <w:b/>
          <w:noProof/>
          <w:color w:val="0070C0"/>
          <w:lang w:val="en-US"/>
        </w:rPr>
      </w:pPr>
    </w:p>
    <w:p w14:paraId="60FA2282" w14:textId="77777777" w:rsidR="00274E72" w:rsidRPr="00F539AE" w:rsidRDefault="00274E72" w:rsidP="00D16309">
      <w:pPr>
        <w:rPr>
          <w:rFonts w:cs="Arial"/>
          <w:b/>
          <w:noProof/>
          <w:color w:val="0070C0"/>
          <w:lang w:val="en-US"/>
        </w:rPr>
      </w:pPr>
    </w:p>
    <w:p w14:paraId="724F354C" w14:textId="77777777" w:rsidR="00274E72" w:rsidRPr="00F539AE" w:rsidRDefault="00274E72" w:rsidP="00D16309">
      <w:pPr>
        <w:rPr>
          <w:rFonts w:cs="Arial"/>
          <w:b/>
          <w:noProof/>
          <w:color w:val="0070C0"/>
          <w:lang w:val="en-US"/>
        </w:rPr>
      </w:pPr>
    </w:p>
    <w:p w14:paraId="57AC8A11" w14:textId="77777777" w:rsidR="00274E72" w:rsidRPr="00F539AE" w:rsidRDefault="00274E72" w:rsidP="00D16309">
      <w:pPr>
        <w:rPr>
          <w:rFonts w:cs="Arial"/>
          <w:b/>
          <w:noProof/>
          <w:color w:val="0070C0"/>
          <w:lang w:val="en-US"/>
        </w:rPr>
      </w:pPr>
    </w:p>
    <w:p w14:paraId="6806E8E8" w14:textId="77777777" w:rsidR="00274E72" w:rsidRPr="00F539AE" w:rsidRDefault="00274E72" w:rsidP="00D16309">
      <w:pPr>
        <w:rPr>
          <w:rFonts w:cs="Arial"/>
          <w:b/>
          <w:noProof/>
          <w:color w:val="0070C0"/>
          <w:lang w:val="en-US"/>
        </w:rPr>
      </w:pPr>
    </w:p>
    <w:p w14:paraId="282A2CFA" w14:textId="040B5B07" w:rsidR="00AE5554" w:rsidRPr="00F539AE" w:rsidRDefault="00274E72" w:rsidP="00D16309">
      <w:pPr>
        <w:rPr>
          <w:rFonts w:cs="Arial"/>
          <w:b/>
          <w:noProof/>
          <w:color w:val="0070C0"/>
          <w:lang w:val="en-US"/>
        </w:rPr>
      </w:pPr>
      <w:r w:rsidRPr="00F539AE">
        <w:rPr>
          <w:noProof/>
          <w:lang w:val="en-US"/>
        </w:rPr>
        <w:drawing>
          <wp:anchor distT="0" distB="0" distL="114300" distR="114300" simplePos="0" relativeHeight="251658240" behindDoc="1" locked="0" layoutInCell="1" allowOverlap="1" wp14:anchorId="39C20931" wp14:editId="584907A4">
            <wp:simplePos x="0" y="0"/>
            <wp:positionH relativeFrom="column">
              <wp:posOffset>-3994</wp:posOffset>
            </wp:positionH>
            <wp:positionV relativeFrom="paragraph">
              <wp:posOffset>-2366836</wp:posOffset>
            </wp:positionV>
            <wp:extent cx="6120130" cy="2392680"/>
            <wp:effectExtent l="0" t="0" r="0" b="7620"/>
            <wp:wrapNone/>
            <wp:docPr id="1" name="Picture 1" descr="Image result fo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p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392680"/>
                    </a:xfrm>
                    <a:prstGeom prst="rect">
                      <a:avLst/>
                    </a:prstGeom>
                    <a:noFill/>
                    <a:ln>
                      <a:noFill/>
                    </a:ln>
                  </pic:spPr>
                </pic:pic>
              </a:graphicData>
            </a:graphic>
          </wp:anchor>
        </w:drawing>
      </w:r>
      <w:r w:rsidR="00AE5554" w:rsidRPr="00F539AE">
        <w:rPr>
          <w:rFonts w:cs="Arial"/>
          <w:b/>
          <w:noProof/>
          <w:color w:val="0070C0"/>
          <w:lang w:val="en-US"/>
        </w:rPr>
        <w:t xml:space="preserve">About </w:t>
      </w:r>
      <w:r w:rsidR="00C7401C" w:rsidRPr="00F539AE">
        <w:rPr>
          <w:rFonts w:cs="Arial"/>
          <w:b/>
          <w:noProof/>
          <w:color w:val="0070C0"/>
          <w:lang w:val="en-US"/>
        </w:rPr>
        <w:t>us</w:t>
      </w:r>
    </w:p>
    <w:p w14:paraId="3E382AFB" w14:textId="0243E710" w:rsidR="000B16E0" w:rsidRPr="00F539AE" w:rsidRDefault="000B16E0" w:rsidP="00323DE3">
      <w:pPr>
        <w:spacing w:line="276" w:lineRule="auto"/>
        <w:rPr>
          <w:rFonts w:cs="Arial"/>
          <w:noProof/>
          <w:lang w:val="en-US"/>
        </w:rPr>
      </w:pPr>
      <w:r w:rsidRPr="00F539AE">
        <w:rPr>
          <w:rFonts w:cs="Arial"/>
          <w:noProof/>
          <w:lang w:val="en-US"/>
        </w:rPr>
        <w:lastRenderedPageBreak/>
        <w:t>The I</w:t>
      </w:r>
      <w:r w:rsidR="00CF0AD7" w:rsidRPr="00F539AE">
        <w:rPr>
          <w:rFonts w:cs="Arial"/>
          <w:noProof/>
          <w:lang w:val="en-US"/>
        </w:rPr>
        <w:t>H</w:t>
      </w:r>
      <w:r w:rsidR="00FC0C7C" w:rsidRPr="00F539AE">
        <w:rPr>
          <w:rFonts w:cs="Arial"/>
          <w:noProof/>
          <w:lang w:val="en-US"/>
        </w:rPr>
        <w:t>C</w:t>
      </w:r>
      <w:r w:rsidRPr="00F539AE">
        <w:rPr>
          <w:rFonts w:cs="Arial"/>
          <w:noProof/>
          <w:lang w:val="en-US"/>
        </w:rPr>
        <w:t xml:space="preserve">P </w:t>
      </w:r>
      <w:r w:rsidR="000215DB" w:rsidRPr="00F539AE">
        <w:rPr>
          <w:rFonts w:cs="Arial"/>
          <w:noProof/>
          <w:lang w:val="en-US"/>
        </w:rPr>
        <w:t>B</w:t>
      </w:r>
      <w:r w:rsidRPr="00F539AE">
        <w:rPr>
          <w:rFonts w:cs="Arial"/>
          <w:noProof/>
          <w:lang w:val="en-US"/>
        </w:rPr>
        <w:t xml:space="preserve">usiness </w:t>
      </w:r>
      <w:r w:rsidR="00877F0F" w:rsidRPr="00F539AE">
        <w:rPr>
          <w:rFonts w:cs="Arial"/>
          <w:noProof/>
          <w:lang w:val="en-US"/>
        </w:rPr>
        <w:t>i</w:t>
      </w:r>
      <w:r w:rsidRPr="00F539AE">
        <w:rPr>
          <w:rFonts w:cs="Arial"/>
          <w:noProof/>
          <w:lang w:val="en-US"/>
        </w:rPr>
        <w:t>ntelligence team provides statistical, economic a</w:t>
      </w:r>
      <w:r w:rsidR="00775B1E" w:rsidRPr="00F539AE">
        <w:rPr>
          <w:rFonts w:cs="Arial"/>
          <w:noProof/>
          <w:lang w:val="en-US"/>
        </w:rPr>
        <w:t>nd scenario modelling to</w:t>
      </w:r>
      <w:r w:rsidRPr="00F539AE">
        <w:rPr>
          <w:rFonts w:cs="Arial"/>
          <w:noProof/>
          <w:lang w:val="en-US"/>
        </w:rPr>
        <w:t xml:space="preserve"> organisations across the country </w:t>
      </w:r>
      <w:r w:rsidR="00C56917" w:rsidRPr="00F539AE">
        <w:rPr>
          <w:rFonts w:cs="Arial"/>
          <w:noProof/>
          <w:lang w:val="en-US"/>
        </w:rPr>
        <w:t>which</w:t>
      </w:r>
      <w:r w:rsidRPr="00F539AE">
        <w:rPr>
          <w:rFonts w:cs="Arial"/>
          <w:noProof/>
          <w:lang w:val="en-US"/>
        </w:rPr>
        <w:t xml:space="preserve"> require rigorous and robust analysis with expert insight. We offer first-rate analytics delivered by people who understand the complexity of the NHS. With access to, and demonstrable experience in working with, comp</w:t>
      </w:r>
      <w:r w:rsidR="00775B1E" w:rsidRPr="00F539AE">
        <w:rPr>
          <w:rFonts w:cs="Arial"/>
          <w:noProof/>
          <w:lang w:val="en-US"/>
        </w:rPr>
        <w:t>lex, integrated and linked data</w:t>
      </w:r>
      <w:r w:rsidRPr="00F539AE">
        <w:rPr>
          <w:rFonts w:cs="Arial"/>
          <w:noProof/>
          <w:lang w:val="en-US"/>
        </w:rPr>
        <w:t>sets we can provide the most informed models to support decision</w:t>
      </w:r>
      <w:r w:rsidR="00C56917" w:rsidRPr="00F539AE">
        <w:rPr>
          <w:rFonts w:cs="Arial"/>
          <w:noProof/>
          <w:lang w:val="en-US"/>
        </w:rPr>
        <w:t>-</w:t>
      </w:r>
      <w:r w:rsidRPr="00F539AE">
        <w:rPr>
          <w:rFonts w:cs="Arial"/>
          <w:noProof/>
          <w:lang w:val="en-US"/>
        </w:rPr>
        <w:t>making.</w:t>
      </w:r>
    </w:p>
    <w:p w14:paraId="527A84E0" w14:textId="1603AF81" w:rsidR="00AE5554" w:rsidRPr="00F539AE" w:rsidRDefault="00D16309" w:rsidP="009F4BC9">
      <w:pPr>
        <w:spacing w:after="0"/>
        <w:rPr>
          <w:rFonts w:cs="Arial"/>
          <w:noProof/>
          <w:lang w:val="en-US"/>
        </w:rPr>
      </w:pPr>
      <w:r w:rsidRPr="00F539AE">
        <w:rPr>
          <w:rFonts w:cs="Arial"/>
          <w:noProof/>
          <w:lang w:val="en-US"/>
        </w:rPr>
        <w:t xml:space="preserve">ICHP is a </w:t>
      </w:r>
      <w:r w:rsidR="00AE5554" w:rsidRPr="00F539AE">
        <w:rPr>
          <w:rFonts w:cs="Arial"/>
          <w:noProof/>
          <w:lang w:val="en-US"/>
        </w:rPr>
        <w:t xml:space="preserve">not-for-profit </w:t>
      </w:r>
      <w:r w:rsidRPr="00F539AE">
        <w:rPr>
          <w:rFonts w:cs="Arial"/>
          <w:noProof/>
          <w:lang w:val="en-US"/>
        </w:rPr>
        <w:t xml:space="preserve">partnership organisation bringing together NHS providers of healthcare services, clinical commissioning groups and leading </w:t>
      </w:r>
      <w:r w:rsidR="00FC0C7C" w:rsidRPr="00F539AE">
        <w:rPr>
          <w:rFonts w:cs="Arial"/>
          <w:noProof/>
          <w:lang w:val="en-US"/>
        </w:rPr>
        <w:t>U</w:t>
      </w:r>
      <w:r w:rsidRPr="00F539AE">
        <w:rPr>
          <w:rFonts w:cs="Arial"/>
          <w:noProof/>
          <w:lang w:val="en-US"/>
        </w:rPr>
        <w:t xml:space="preserve">niversities across North West London. We are also the designated </w:t>
      </w:r>
      <w:r w:rsidR="00473D08" w:rsidRPr="00F539AE">
        <w:rPr>
          <w:rFonts w:cs="Arial"/>
          <w:noProof/>
          <w:lang w:val="en-US"/>
        </w:rPr>
        <w:t>A</w:t>
      </w:r>
      <w:r w:rsidRPr="00F539AE">
        <w:rPr>
          <w:rFonts w:cs="Arial"/>
          <w:noProof/>
          <w:lang w:val="en-US"/>
        </w:rPr>
        <w:t xml:space="preserve">cademic </w:t>
      </w:r>
      <w:r w:rsidR="00473D08" w:rsidRPr="00F539AE">
        <w:rPr>
          <w:rFonts w:cs="Arial"/>
          <w:noProof/>
          <w:lang w:val="en-US"/>
        </w:rPr>
        <w:t>H</w:t>
      </w:r>
      <w:r w:rsidRPr="00F539AE">
        <w:rPr>
          <w:rFonts w:cs="Arial"/>
          <w:noProof/>
          <w:lang w:val="en-US"/>
        </w:rPr>
        <w:t xml:space="preserve">ealth </w:t>
      </w:r>
      <w:r w:rsidR="00473D08" w:rsidRPr="00F539AE">
        <w:rPr>
          <w:rFonts w:cs="Arial"/>
          <w:noProof/>
          <w:lang w:val="en-US"/>
        </w:rPr>
        <w:t>S</w:t>
      </w:r>
      <w:r w:rsidRPr="00F539AE">
        <w:rPr>
          <w:rFonts w:cs="Arial"/>
          <w:noProof/>
          <w:lang w:val="en-US"/>
        </w:rPr>
        <w:t xml:space="preserve">cience </w:t>
      </w:r>
      <w:r w:rsidR="00473D08" w:rsidRPr="00F539AE">
        <w:rPr>
          <w:rFonts w:cs="Arial"/>
          <w:noProof/>
          <w:lang w:val="en-US"/>
        </w:rPr>
        <w:t>N</w:t>
      </w:r>
      <w:r w:rsidRPr="00F539AE">
        <w:rPr>
          <w:rFonts w:cs="Arial"/>
          <w:noProof/>
          <w:lang w:val="en-US"/>
        </w:rPr>
        <w:t>etwork (AHSN) for North West London and members of the national AHSN Network.</w:t>
      </w:r>
    </w:p>
    <w:p w14:paraId="0E0F9544" w14:textId="77777777" w:rsidR="009F4BC9" w:rsidRPr="00F539AE" w:rsidRDefault="009F4BC9" w:rsidP="002A464C">
      <w:pPr>
        <w:spacing w:after="0"/>
        <w:rPr>
          <w:rFonts w:cs="Arial"/>
          <w:noProof/>
          <w:lang w:val="en-US"/>
        </w:rPr>
      </w:pPr>
    </w:p>
    <w:p w14:paraId="0394C02F" w14:textId="37881ADF" w:rsidR="00AE5554" w:rsidRPr="00F539AE" w:rsidRDefault="00AE5554" w:rsidP="002A464C">
      <w:pPr>
        <w:spacing w:after="0"/>
        <w:rPr>
          <w:rFonts w:cs="Arial"/>
          <w:noProof/>
          <w:lang w:val="en-US"/>
        </w:rPr>
      </w:pPr>
      <w:r w:rsidRPr="00F539AE">
        <w:rPr>
          <w:rFonts w:cs="Arial"/>
          <w:noProof/>
          <w:lang w:val="en-US"/>
        </w:rPr>
        <w:t>ICHP innovates and collaborates for a healthier population. We turn the potential of innovation into reality to help solve pressing challenges by collaborating across the health sector. By connecting a unique network of health experts, we can accelerate the ad</w:t>
      </w:r>
      <w:r w:rsidR="00862E6B" w:rsidRPr="00F539AE">
        <w:rPr>
          <w:rFonts w:cs="Arial"/>
          <w:noProof/>
          <w:lang w:val="en-US"/>
        </w:rPr>
        <w:t>a</w:t>
      </w:r>
      <w:r w:rsidRPr="00F539AE">
        <w:rPr>
          <w:rFonts w:cs="Arial"/>
          <w:noProof/>
          <w:lang w:val="en-US"/>
        </w:rPr>
        <w:t>ption and spread of innovation amongst our member organisations.</w:t>
      </w:r>
    </w:p>
    <w:p w14:paraId="276A7752" w14:textId="74D1D6C3" w:rsidR="00D16309" w:rsidRPr="00F539AE" w:rsidRDefault="00A52324" w:rsidP="00323DE3">
      <w:pPr>
        <w:rPr>
          <w:rFonts w:cs="Arial"/>
          <w:noProof/>
          <w:lang w:val="en-US"/>
        </w:rPr>
      </w:pPr>
      <w:r w:rsidRPr="00F539AE">
        <w:rPr>
          <w:rFonts w:cs="Arial"/>
          <w:noProof/>
          <w:lang w:val="en-US"/>
        </w:rPr>
        <w:t xml:space="preserve">Find out more about our </w:t>
      </w:r>
      <w:r w:rsidR="00675C8C" w:rsidRPr="00F539AE">
        <w:rPr>
          <w:rFonts w:cs="Arial"/>
          <w:noProof/>
          <w:lang w:val="en-US"/>
        </w:rPr>
        <w:t xml:space="preserve">population heath </w:t>
      </w:r>
      <w:r w:rsidRPr="00F539AE">
        <w:rPr>
          <w:rFonts w:cs="Arial"/>
          <w:noProof/>
          <w:lang w:val="en-US"/>
        </w:rPr>
        <w:t>services</w:t>
      </w:r>
      <w:r w:rsidR="00675C8C" w:rsidRPr="00F539AE">
        <w:rPr>
          <w:rFonts w:cs="Arial"/>
          <w:noProof/>
          <w:lang w:val="en-US"/>
        </w:rPr>
        <w:t>:</w:t>
      </w:r>
      <w:r w:rsidR="00323DE3">
        <w:rPr>
          <w:rFonts w:cs="Arial"/>
          <w:noProof/>
          <w:lang w:val="en-US"/>
        </w:rPr>
        <w:t xml:space="preserve"> &lt;client to insert contact details&gt;</w:t>
      </w:r>
      <w:r w:rsidRPr="00F539AE">
        <w:rPr>
          <w:rFonts w:cs="Arial"/>
          <w:noProof/>
          <w:lang w:val="en-US"/>
        </w:rPr>
        <w:t xml:space="preserve"> </w:t>
      </w:r>
    </w:p>
    <w:sectPr w:rsidR="00D16309" w:rsidRPr="00F539AE" w:rsidSect="005E6D8D">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i Marsland" w:date="2019-09-19T09:54:00Z" w:initials="AM">
    <w:p w14:paraId="4E46EB73" w14:textId="04AB0CCA" w:rsidR="00F65001" w:rsidRDefault="00F65001">
      <w:pPr>
        <w:pStyle w:val="CommentText"/>
      </w:pPr>
      <w:r>
        <w:rPr>
          <w:rStyle w:val="CommentReference"/>
        </w:rPr>
        <w:annotationRef/>
      </w:r>
      <w:r>
        <w:rPr>
          <w:rStyle w:val="CommentReference"/>
        </w:rPr>
        <w:t xml:space="preserve">Left align, </w:t>
      </w:r>
      <w:proofErr w:type="gramStart"/>
      <w:r>
        <w:rPr>
          <w:rStyle w:val="CommentReference"/>
        </w:rPr>
        <w:t>bold</w:t>
      </w:r>
      <w:proofErr w:type="gramEnd"/>
      <w:r>
        <w:rPr>
          <w:rStyle w:val="CommentReference"/>
        </w:rPr>
        <w:t xml:space="preserve"> and set to 12pt space before</w:t>
      </w:r>
    </w:p>
  </w:comment>
  <w:comment w:id="1" w:author="Ali Marsland" w:date="2019-09-19T10:00:00Z" w:initials="AM">
    <w:p w14:paraId="7FCFD8D6" w14:textId="6E8025EB" w:rsidR="00274E72" w:rsidRDefault="00274E72">
      <w:pPr>
        <w:pStyle w:val="CommentText"/>
      </w:pPr>
      <w:r>
        <w:rPr>
          <w:rStyle w:val="CommentReference"/>
        </w:rPr>
        <w:annotationRef/>
      </w:r>
      <w:r>
        <w:t>Add a contents page</w:t>
      </w:r>
      <w:r w:rsidR="00E6476D">
        <w:t xml:space="preserve"> before </w:t>
      </w:r>
      <w:proofErr w:type="gramStart"/>
      <w:r w:rsidR="00E6476D">
        <w:t>this</w:t>
      </w:r>
      <w:proofErr w:type="gramEnd"/>
    </w:p>
  </w:comment>
  <w:comment w:id="2" w:author="Ali Marsland" w:date="2019-09-19T09:56:00Z" w:initials="AM">
    <w:p w14:paraId="21DC9DE2" w14:textId="77777777" w:rsidR="00F65001" w:rsidRDefault="00F65001">
      <w:pPr>
        <w:pStyle w:val="CommentText"/>
      </w:pPr>
      <w:r>
        <w:rPr>
          <w:rStyle w:val="CommentReference"/>
        </w:rPr>
        <w:annotationRef/>
      </w:r>
      <w:r>
        <w:t>Match font with rest of piece + change to RGB 0/120/100</w:t>
      </w:r>
    </w:p>
    <w:p w14:paraId="09F9372B" w14:textId="77777777" w:rsidR="00F65001" w:rsidRDefault="00F65001">
      <w:pPr>
        <w:pStyle w:val="CommentText"/>
      </w:pPr>
      <w:r>
        <w:t xml:space="preserve">Change all other headings of this level to </w:t>
      </w:r>
      <w:proofErr w:type="gramStart"/>
      <w:r>
        <w:t>match</w:t>
      </w:r>
      <w:proofErr w:type="gramEnd"/>
    </w:p>
    <w:p w14:paraId="2265C0CB" w14:textId="77777777" w:rsidR="00274E72" w:rsidRDefault="00274E72">
      <w:pPr>
        <w:pStyle w:val="CommentText"/>
      </w:pPr>
    </w:p>
    <w:p w14:paraId="42C38AF2" w14:textId="77777777" w:rsidR="00274E72" w:rsidRDefault="00274E72">
      <w:pPr>
        <w:pStyle w:val="CommentText"/>
      </w:pPr>
    </w:p>
    <w:p w14:paraId="33F0E06B" w14:textId="13844A9B" w:rsidR="00274E72" w:rsidRDefault="00274E72">
      <w:pPr>
        <w:pStyle w:val="CommentText"/>
      </w:pPr>
      <w:r>
        <w:t xml:space="preserve">Make level 2 headings the same colour; smaller font; </w:t>
      </w:r>
      <w:proofErr w:type="spellStart"/>
      <w:r>
        <w:t>unbold</w:t>
      </w:r>
      <w:proofErr w:type="spellEnd"/>
      <w:r>
        <w:t xml:space="preserve">; </w:t>
      </w:r>
      <w:proofErr w:type="gramStart"/>
      <w:r>
        <w:t>numbered</w:t>
      </w:r>
      <w:proofErr w:type="gramEnd"/>
    </w:p>
  </w:comment>
  <w:comment w:id="3" w:author="Ali Marsland" w:date="2019-09-19T09:51:00Z" w:initials="AM">
    <w:p w14:paraId="2AEC047C" w14:textId="0193171F" w:rsidR="00F65001" w:rsidRDefault="00F65001">
      <w:pPr>
        <w:pStyle w:val="CommentText"/>
      </w:pPr>
      <w:r>
        <w:rPr>
          <w:rStyle w:val="CommentReference"/>
        </w:rPr>
        <w:annotationRef/>
      </w:r>
      <w:r>
        <w:t xml:space="preserve">Make into </w:t>
      </w:r>
      <w:proofErr w:type="gramStart"/>
      <w:r>
        <w:t>bullets</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46EB73" w15:done="0"/>
  <w15:commentEx w15:paraId="7FCFD8D6" w15:done="0"/>
  <w15:commentEx w15:paraId="33F0E06B" w15:done="0"/>
  <w15:commentEx w15:paraId="2AEC04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46EB73" w16cid:durableId="212DCEF0"/>
  <w16cid:commentId w16cid:paraId="7FCFD8D6" w16cid:durableId="212DD03E"/>
  <w16cid:commentId w16cid:paraId="33F0E06B" w16cid:durableId="212DCF3F"/>
  <w16cid:commentId w16cid:paraId="2AEC047C" w16cid:durableId="212DC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CE7D7" w14:textId="77777777" w:rsidR="0086792D" w:rsidRDefault="0086792D" w:rsidP="00C779E3">
      <w:pPr>
        <w:spacing w:after="0"/>
      </w:pPr>
      <w:r>
        <w:separator/>
      </w:r>
    </w:p>
  </w:endnote>
  <w:endnote w:type="continuationSeparator" w:id="0">
    <w:p w14:paraId="172F2A62" w14:textId="77777777" w:rsidR="0086792D" w:rsidRDefault="0086792D" w:rsidP="00C77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0F5F3" w14:textId="77777777" w:rsidR="0086792D" w:rsidRDefault="0086792D" w:rsidP="00C779E3">
      <w:pPr>
        <w:spacing w:after="0"/>
      </w:pPr>
      <w:r>
        <w:separator/>
      </w:r>
    </w:p>
  </w:footnote>
  <w:footnote w:type="continuationSeparator" w:id="0">
    <w:p w14:paraId="3C99C5ED" w14:textId="77777777" w:rsidR="0086792D" w:rsidRDefault="0086792D" w:rsidP="00C779E3">
      <w:pPr>
        <w:spacing w:after="0"/>
      </w:pPr>
      <w:r>
        <w:continuationSeparator/>
      </w:r>
    </w:p>
  </w:footnote>
  <w:footnote w:id="1">
    <w:p w14:paraId="5FD6D370" w14:textId="77777777" w:rsidR="008664B1" w:rsidRPr="00113F1D" w:rsidRDefault="008664B1" w:rsidP="008664B1">
      <w:pPr>
        <w:pStyle w:val="FootnoteText"/>
        <w:rPr>
          <w:rFonts w:cs="Arial"/>
        </w:rPr>
      </w:pPr>
      <w:r w:rsidRPr="00113F1D">
        <w:rPr>
          <w:rStyle w:val="FootnoteReference"/>
          <w:rFonts w:cs="Arial"/>
          <w:sz w:val="18"/>
        </w:rPr>
        <w:footnoteRef/>
      </w:r>
      <w:r w:rsidRPr="00113F1D">
        <w:rPr>
          <w:rFonts w:cs="Arial"/>
          <w:sz w:val="18"/>
        </w:rPr>
        <w:t xml:space="preserve"> Derived data HES outputs are created in partnership with Harvey Walsh Ltd, who work collaboratively with ICHP in the provision of data insights from their proprietary database AXON 360 (Harvey Walsh NHS Digital DSA: DARS-NIC-05934-M7V9K).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2D92"/>
    <w:multiLevelType w:val="hybridMultilevel"/>
    <w:tmpl w:val="F350F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F74DF6"/>
    <w:multiLevelType w:val="hybridMultilevel"/>
    <w:tmpl w:val="5816D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61F75"/>
    <w:multiLevelType w:val="hybridMultilevel"/>
    <w:tmpl w:val="EB8279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66ECE"/>
    <w:multiLevelType w:val="hybridMultilevel"/>
    <w:tmpl w:val="4A900CAC"/>
    <w:lvl w:ilvl="0" w:tplc="08090003">
      <w:start w:val="1"/>
      <w:numFmt w:val="bullet"/>
      <w:lvlText w:val="o"/>
      <w:lvlJc w:val="left"/>
      <w:pPr>
        <w:ind w:left="785" w:hanging="360"/>
      </w:pPr>
      <w:rPr>
        <w:rFonts w:ascii="Courier New" w:hAnsi="Courier New" w:cs="Courier New"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338C4F12"/>
    <w:multiLevelType w:val="hybridMultilevel"/>
    <w:tmpl w:val="703AD7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C147B"/>
    <w:multiLevelType w:val="hybridMultilevel"/>
    <w:tmpl w:val="70303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C61698"/>
    <w:multiLevelType w:val="hybridMultilevel"/>
    <w:tmpl w:val="EFD6793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6A4932EE"/>
    <w:multiLevelType w:val="hybridMultilevel"/>
    <w:tmpl w:val="8DE4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6"/>
  </w:num>
  <w:num w:numId="6">
    <w:abstractNumId w:val="3"/>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i Marsland">
    <w15:presenceInfo w15:providerId="None" w15:userId="Ali Mars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7C"/>
    <w:rsid w:val="000015EE"/>
    <w:rsid w:val="00015062"/>
    <w:rsid w:val="000215DB"/>
    <w:rsid w:val="00043EBF"/>
    <w:rsid w:val="000620BD"/>
    <w:rsid w:val="0007497D"/>
    <w:rsid w:val="00076320"/>
    <w:rsid w:val="00093373"/>
    <w:rsid w:val="00094092"/>
    <w:rsid w:val="000A003E"/>
    <w:rsid w:val="000B16E0"/>
    <w:rsid w:val="000D1FDC"/>
    <w:rsid w:val="000F09E4"/>
    <w:rsid w:val="000F23D9"/>
    <w:rsid w:val="000F569D"/>
    <w:rsid w:val="000F7849"/>
    <w:rsid w:val="001028DA"/>
    <w:rsid w:val="00113F1D"/>
    <w:rsid w:val="001240FB"/>
    <w:rsid w:val="001449F9"/>
    <w:rsid w:val="001473B7"/>
    <w:rsid w:val="00166DC8"/>
    <w:rsid w:val="00193421"/>
    <w:rsid w:val="001C10A1"/>
    <w:rsid w:val="001D1B3F"/>
    <w:rsid w:val="00232B62"/>
    <w:rsid w:val="00274E72"/>
    <w:rsid w:val="002A0211"/>
    <w:rsid w:val="002A464C"/>
    <w:rsid w:val="002A723B"/>
    <w:rsid w:val="002C0F32"/>
    <w:rsid w:val="002C2411"/>
    <w:rsid w:val="002C2890"/>
    <w:rsid w:val="002F0B77"/>
    <w:rsid w:val="00317383"/>
    <w:rsid w:val="00323DE3"/>
    <w:rsid w:val="00334D40"/>
    <w:rsid w:val="003C519B"/>
    <w:rsid w:val="003C612C"/>
    <w:rsid w:val="003D6D1A"/>
    <w:rsid w:val="003E5B21"/>
    <w:rsid w:val="004543E0"/>
    <w:rsid w:val="00464CC7"/>
    <w:rsid w:val="00472302"/>
    <w:rsid w:val="00473D08"/>
    <w:rsid w:val="004820C5"/>
    <w:rsid w:val="0048294B"/>
    <w:rsid w:val="0049743A"/>
    <w:rsid w:val="004A3C86"/>
    <w:rsid w:val="004E0E8D"/>
    <w:rsid w:val="004E44CF"/>
    <w:rsid w:val="00503A23"/>
    <w:rsid w:val="00506F7E"/>
    <w:rsid w:val="00512554"/>
    <w:rsid w:val="00512AEF"/>
    <w:rsid w:val="00550DC0"/>
    <w:rsid w:val="00551F8D"/>
    <w:rsid w:val="00554F92"/>
    <w:rsid w:val="00564E7D"/>
    <w:rsid w:val="005769F8"/>
    <w:rsid w:val="00580B0D"/>
    <w:rsid w:val="005840FE"/>
    <w:rsid w:val="005D1C36"/>
    <w:rsid w:val="005E6D8D"/>
    <w:rsid w:val="00630B77"/>
    <w:rsid w:val="00641C49"/>
    <w:rsid w:val="00652AFD"/>
    <w:rsid w:val="006562F4"/>
    <w:rsid w:val="00656A02"/>
    <w:rsid w:val="006639BF"/>
    <w:rsid w:val="00674627"/>
    <w:rsid w:val="00675C8C"/>
    <w:rsid w:val="00677E87"/>
    <w:rsid w:val="006A05F1"/>
    <w:rsid w:val="006C757D"/>
    <w:rsid w:val="006D7410"/>
    <w:rsid w:val="006F7705"/>
    <w:rsid w:val="00735316"/>
    <w:rsid w:val="0076239D"/>
    <w:rsid w:val="00775B1E"/>
    <w:rsid w:val="00790486"/>
    <w:rsid w:val="00794752"/>
    <w:rsid w:val="007A16FC"/>
    <w:rsid w:val="007A2800"/>
    <w:rsid w:val="007A31FC"/>
    <w:rsid w:val="007A39FC"/>
    <w:rsid w:val="008148D9"/>
    <w:rsid w:val="00862E6B"/>
    <w:rsid w:val="008664B1"/>
    <w:rsid w:val="0086792D"/>
    <w:rsid w:val="00877F0F"/>
    <w:rsid w:val="0088056B"/>
    <w:rsid w:val="00890BE1"/>
    <w:rsid w:val="008970D0"/>
    <w:rsid w:val="008B1FE1"/>
    <w:rsid w:val="008B2E69"/>
    <w:rsid w:val="008C38C1"/>
    <w:rsid w:val="008D6B30"/>
    <w:rsid w:val="008D772A"/>
    <w:rsid w:val="008E4AE5"/>
    <w:rsid w:val="009125B9"/>
    <w:rsid w:val="00944D98"/>
    <w:rsid w:val="0097083F"/>
    <w:rsid w:val="0099018D"/>
    <w:rsid w:val="009B20F6"/>
    <w:rsid w:val="009B6E20"/>
    <w:rsid w:val="009C23FC"/>
    <w:rsid w:val="009E2F25"/>
    <w:rsid w:val="009E7945"/>
    <w:rsid w:val="009F4BC9"/>
    <w:rsid w:val="00A05FA3"/>
    <w:rsid w:val="00A13F37"/>
    <w:rsid w:val="00A24DE0"/>
    <w:rsid w:val="00A52324"/>
    <w:rsid w:val="00A72C3D"/>
    <w:rsid w:val="00AE3236"/>
    <w:rsid w:val="00AE5554"/>
    <w:rsid w:val="00AF008A"/>
    <w:rsid w:val="00AF244E"/>
    <w:rsid w:val="00AF69FD"/>
    <w:rsid w:val="00B1547E"/>
    <w:rsid w:val="00B17377"/>
    <w:rsid w:val="00B244AC"/>
    <w:rsid w:val="00B32F05"/>
    <w:rsid w:val="00B62AD5"/>
    <w:rsid w:val="00B77AD8"/>
    <w:rsid w:val="00B90A8D"/>
    <w:rsid w:val="00B94ECD"/>
    <w:rsid w:val="00BC6491"/>
    <w:rsid w:val="00BC6914"/>
    <w:rsid w:val="00BE1A89"/>
    <w:rsid w:val="00BE4CE8"/>
    <w:rsid w:val="00C0411E"/>
    <w:rsid w:val="00C23BDE"/>
    <w:rsid w:val="00C32C7C"/>
    <w:rsid w:val="00C40FBA"/>
    <w:rsid w:val="00C56917"/>
    <w:rsid w:val="00C6166B"/>
    <w:rsid w:val="00C67203"/>
    <w:rsid w:val="00C7401C"/>
    <w:rsid w:val="00C779E3"/>
    <w:rsid w:val="00C83E2F"/>
    <w:rsid w:val="00C923DE"/>
    <w:rsid w:val="00C94740"/>
    <w:rsid w:val="00CF0AD7"/>
    <w:rsid w:val="00D16309"/>
    <w:rsid w:val="00D43F38"/>
    <w:rsid w:val="00D52AA6"/>
    <w:rsid w:val="00D6049C"/>
    <w:rsid w:val="00DA42F5"/>
    <w:rsid w:val="00DD74B0"/>
    <w:rsid w:val="00E109CB"/>
    <w:rsid w:val="00E137A6"/>
    <w:rsid w:val="00E2187A"/>
    <w:rsid w:val="00E243B0"/>
    <w:rsid w:val="00E30DD7"/>
    <w:rsid w:val="00E6476D"/>
    <w:rsid w:val="00E748BD"/>
    <w:rsid w:val="00EA1CB8"/>
    <w:rsid w:val="00EB22CA"/>
    <w:rsid w:val="00EB68A8"/>
    <w:rsid w:val="00EE0E2A"/>
    <w:rsid w:val="00EE107C"/>
    <w:rsid w:val="00EF19EE"/>
    <w:rsid w:val="00F246CA"/>
    <w:rsid w:val="00F2752D"/>
    <w:rsid w:val="00F31BCC"/>
    <w:rsid w:val="00F530B6"/>
    <w:rsid w:val="00F539AE"/>
    <w:rsid w:val="00F65001"/>
    <w:rsid w:val="00F74B7F"/>
    <w:rsid w:val="00FC0C7C"/>
    <w:rsid w:val="00FD57F2"/>
    <w:rsid w:val="00FD5F3B"/>
    <w:rsid w:val="00FF6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88A6"/>
  <w15:docId w15:val="{1195D8C5-4559-41C8-8721-D2447E14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5001"/>
    <w:pPr>
      <w:spacing w:before="120" w:after="120" w:line="240" w:lineRule="auto"/>
    </w:pPr>
    <w:rPr>
      <w:rFonts w:ascii="Arial" w:hAnsi="Arial"/>
    </w:rPr>
  </w:style>
  <w:style w:type="paragraph" w:styleId="Heading1">
    <w:name w:val="heading 1"/>
    <w:basedOn w:val="Normal"/>
    <w:next w:val="Normal"/>
    <w:link w:val="Heading1Char"/>
    <w:uiPriority w:val="9"/>
    <w:qFormat/>
    <w:rsid w:val="00F65001"/>
    <w:pPr>
      <w:keepNext/>
      <w:keepLines/>
      <w:spacing w:before="240" w:after="0"/>
      <w:outlineLvl w:val="0"/>
    </w:pPr>
    <w:rPr>
      <w:rFonts w:asciiTheme="majorHAnsi" w:eastAsiaTheme="majorEastAsia" w:hAnsiTheme="majorHAnsi" w:cstheme="majorBidi"/>
      <w:b/>
      <w:color w:val="0070C0"/>
      <w:sz w:val="32"/>
      <w:szCs w:val="32"/>
    </w:rPr>
  </w:style>
  <w:style w:type="paragraph" w:styleId="Heading2">
    <w:name w:val="heading 2"/>
    <w:basedOn w:val="Normal"/>
    <w:next w:val="Normal"/>
    <w:link w:val="Heading2Char"/>
    <w:uiPriority w:val="9"/>
    <w:unhideWhenUsed/>
    <w:qFormat/>
    <w:rsid w:val="00274E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569D"/>
    <w:rPr>
      <w:sz w:val="16"/>
      <w:szCs w:val="16"/>
    </w:rPr>
  </w:style>
  <w:style w:type="paragraph" w:styleId="CommentText">
    <w:name w:val="annotation text"/>
    <w:basedOn w:val="Normal"/>
    <w:link w:val="CommentTextChar"/>
    <w:uiPriority w:val="99"/>
    <w:semiHidden/>
    <w:unhideWhenUsed/>
    <w:rsid w:val="000F569D"/>
    <w:rPr>
      <w:sz w:val="20"/>
      <w:szCs w:val="20"/>
    </w:rPr>
  </w:style>
  <w:style w:type="character" w:customStyle="1" w:styleId="CommentTextChar">
    <w:name w:val="Comment Text Char"/>
    <w:basedOn w:val="DefaultParagraphFont"/>
    <w:link w:val="CommentText"/>
    <w:uiPriority w:val="99"/>
    <w:semiHidden/>
    <w:rsid w:val="000F569D"/>
    <w:rPr>
      <w:sz w:val="20"/>
      <w:szCs w:val="20"/>
    </w:rPr>
  </w:style>
  <w:style w:type="paragraph" w:styleId="CommentSubject">
    <w:name w:val="annotation subject"/>
    <w:basedOn w:val="CommentText"/>
    <w:next w:val="CommentText"/>
    <w:link w:val="CommentSubjectChar"/>
    <w:uiPriority w:val="99"/>
    <w:semiHidden/>
    <w:unhideWhenUsed/>
    <w:rsid w:val="000F569D"/>
    <w:rPr>
      <w:b/>
      <w:bCs/>
    </w:rPr>
  </w:style>
  <w:style w:type="character" w:customStyle="1" w:styleId="CommentSubjectChar">
    <w:name w:val="Comment Subject Char"/>
    <w:basedOn w:val="CommentTextChar"/>
    <w:link w:val="CommentSubject"/>
    <w:uiPriority w:val="99"/>
    <w:semiHidden/>
    <w:rsid w:val="000F569D"/>
    <w:rPr>
      <w:b/>
      <w:bCs/>
      <w:sz w:val="20"/>
      <w:szCs w:val="20"/>
    </w:rPr>
  </w:style>
  <w:style w:type="paragraph" w:styleId="BalloonText">
    <w:name w:val="Balloon Text"/>
    <w:basedOn w:val="Normal"/>
    <w:link w:val="BalloonTextChar"/>
    <w:uiPriority w:val="99"/>
    <w:semiHidden/>
    <w:unhideWhenUsed/>
    <w:rsid w:val="000F56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9D"/>
    <w:rPr>
      <w:rFonts w:ascii="Segoe UI" w:hAnsi="Segoe UI" w:cs="Segoe UI"/>
      <w:sz w:val="18"/>
      <w:szCs w:val="18"/>
    </w:rPr>
  </w:style>
  <w:style w:type="character" w:styleId="Hyperlink">
    <w:name w:val="Hyperlink"/>
    <w:basedOn w:val="DefaultParagraphFont"/>
    <w:uiPriority w:val="99"/>
    <w:unhideWhenUsed/>
    <w:rsid w:val="00AE3236"/>
    <w:rPr>
      <w:color w:val="0000FF" w:themeColor="hyperlink"/>
      <w:u w:val="single"/>
    </w:rPr>
  </w:style>
  <w:style w:type="character" w:customStyle="1" w:styleId="UnresolvedMention1">
    <w:name w:val="Unresolved Mention1"/>
    <w:basedOn w:val="DefaultParagraphFont"/>
    <w:uiPriority w:val="99"/>
    <w:semiHidden/>
    <w:unhideWhenUsed/>
    <w:rsid w:val="00AE3236"/>
    <w:rPr>
      <w:color w:val="808080"/>
      <w:shd w:val="clear" w:color="auto" w:fill="E6E6E6"/>
    </w:rPr>
  </w:style>
  <w:style w:type="paragraph" w:styleId="ListParagraph">
    <w:name w:val="List Paragraph"/>
    <w:basedOn w:val="Normal"/>
    <w:uiPriority w:val="34"/>
    <w:qFormat/>
    <w:rsid w:val="005769F8"/>
    <w:pPr>
      <w:ind w:left="720"/>
      <w:contextualSpacing/>
    </w:pPr>
  </w:style>
  <w:style w:type="character" w:styleId="FollowedHyperlink">
    <w:name w:val="FollowedHyperlink"/>
    <w:basedOn w:val="DefaultParagraphFont"/>
    <w:uiPriority w:val="99"/>
    <w:semiHidden/>
    <w:unhideWhenUsed/>
    <w:rsid w:val="00AE5554"/>
    <w:rPr>
      <w:color w:val="800080" w:themeColor="followedHyperlink"/>
      <w:u w:val="single"/>
    </w:rPr>
  </w:style>
  <w:style w:type="paragraph" w:styleId="FootnoteText">
    <w:name w:val="footnote text"/>
    <w:basedOn w:val="Normal"/>
    <w:link w:val="FootnoteTextChar"/>
    <w:uiPriority w:val="99"/>
    <w:semiHidden/>
    <w:unhideWhenUsed/>
    <w:rsid w:val="00C779E3"/>
    <w:pPr>
      <w:spacing w:after="0"/>
    </w:pPr>
    <w:rPr>
      <w:sz w:val="20"/>
      <w:szCs w:val="20"/>
    </w:rPr>
  </w:style>
  <w:style w:type="character" w:customStyle="1" w:styleId="FootnoteTextChar">
    <w:name w:val="Footnote Text Char"/>
    <w:basedOn w:val="DefaultParagraphFont"/>
    <w:link w:val="FootnoteText"/>
    <w:uiPriority w:val="99"/>
    <w:semiHidden/>
    <w:rsid w:val="00C779E3"/>
    <w:rPr>
      <w:sz w:val="20"/>
      <w:szCs w:val="20"/>
    </w:rPr>
  </w:style>
  <w:style w:type="character" w:styleId="FootnoteReference">
    <w:name w:val="footnote reference"/>
    <w:basedOn w:val="DefaultParagraphFont"/>
    <w:uiPriority w:val="99"/>
    <w:semiHidden/>
    <w:unhideWhenUsed/>
    <w:rsid w:val="00C779E3"/>
    <w:rPr>
      <w:vertAlign w:val="superscript"/>
    </w:rPr>
  </w:style>
  <w:style w:type="paragraph" w:styleId="Revision">
    <w:name w:val="Revision"/>
    <w:hidden/>
    <w:uiPriority w:val="99"/>
    <w:semiHidden/>
    <w:rsid w:val="00CF0AD7"/>
    <w:pPr>
      <w:spacing w:after="0" w:line="240" w:lineRule="auto"/>
    </w:pPr>
  </w:style>
  <w:style w:type="character" w:customStyle="1" w:styleId="Heading1Char">
    <w:name w:val="Heading 1 Char"/>
    <w:basedOn w:val="DefaultParagraphFont"/>
    <w:link w:val="Heading1"/>
    <w:uiPriority w:val="9"/>
    <w:rsid w:val="00F65001"/>
    <w:rPr>
      <w:rFonts w:asciiTheme="majorHAnsi" w:eastAsiaTheme="majorEastAsia" w:hAnsiTheme="majorHAnsi" w:cstheme="majorBidi"/>
      <w:b/>
      <w:color w:val="0070C0"/>
      <w:sz w:val="32"/>
      <w:szCs w:val="32"/>
    </w:rPr>
  </w:style>
  <w:style w:type="paragraph" w:styleId="Title">
    <w:name w:val="Title"/>
    <w:basedOn w:val="Normal"/>
    <w:next w:val="Normal"/>
    <w:link w:val="TitleChar"/>
    <w:uiPriority w:val="10"/>
    <w:qFormat/>
    <w:rsid w:val="00F65001"/>
    <w:pPr>
      <w:spacing w:after="240"/>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65001"/>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274E72"/>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rsid w:val="00A24DE0"/>
    <w:rPr>
      <w:color w:val="605E5C"/>
      <w:shd w:val="clear" w:color="auto" w:fill="E1DFDD"/>
    </w:rPr>
  </w:style>
  <w:style w:type="table" w:styleId="TableGrid">
    <w:name w:val="Table Grid"/>
    <w:basedOn w:val="TableNormal"/>
    <w:uiPriority w:val="59"/>
    <w:rsid w:val="00AF0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sortedcomms.co.uk/care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807D3-028D-485A-812C-DE8C125D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Ali Marsland</cp:lastModifiedBy>
  <cp:revision>15</cp:revision>
  <dcterms:created xsi:type="dcterms:W3CDTF">2018-12-10T19:24:00Z</dcterms:created>
  <dcterms:modified xsi:type="dcterms:W3CDTF">2021-01-18T11:25:00Z</dcterms:modified>
</cp:coreProperties>
</file>